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计算机网络设备采购</w:t>
      </w:r>
      <w:r>
        <w:rPr>
          <w:rFonts w:hint="eastAsia" w:ascii="宋体" w:hAnsi="宋体" w:eastAsia="宋体" w:cs="宋体"/>
          <w:b/>
          <w:i w:val="0"/>
          <w:iCs w:val="0"/>
          <w:color w:val="000000"/>
          <w:kern w:val="0"/>
          <w:sz w:val="48"/>
          <w:szCs w:val="48"/>
          <w:u w:val="none"/>
          <w:lang w:val="en-US" w:eastAsia="zh-CN" w:bidi="ar"/>
        </w:rPr>
        <w:t>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14:paraId="2D29C2E0">
      <w:pPr>
        <w:ind w:left="0" w:leftChars="0" w:firstLine="0" w:firstLineChars="0"/>
        <w:rPr>
          <w:rFonts w:hint="default"/>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2.4、原厂授权</w:t>
      </w:r>
    </w:p>
    <w:tbl>
      <w:tblPr>
        <w:tblStyle w:val="24"/>
        <w:tblW w:w="1395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6"/>
        <w:gridCol w:w="1312"/>
        <w:gridCol w:w="4350"/>
        <w:gridCol w:w="642"/>
        <w:gridCol w:w="858"/>
        <w:gridCol w:w="816"/>
        <w:gridCol w:w="1590"/>
        <w:gridCol w:w="1280"/>
        <w:gridCol w:w="1060"/>
        <w:gridCol w:w="1110"/>
      </w:tblGrid>
      <w:tr w14:paraId="1CBEC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954" w:type="dxa"/>
            <w:gridSpan w:val="10"/>
            <w:tcBorders>
              <w:top w:val="nil"/>
              <w:left w:val="nil"/>
              <w:bottom w:val="nil"/>
              <w:right w:val="nil"/>
            </w:tcBorders>
            <w:shd w:val="clear" w:color="auto" w:fill="auto"/>
            <w:vAlign w:val="center"/>
          </w:tcPr>
          <w:p w14:paraId="3CF26764">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采购报价表</w:t>
            </w:r>
          </w:p>
        </w:tc>
      </w:tr>
      <w:tr w14:paraId="306DF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A6357">
            <w:pPr>
              <w:keepNext w:val="0"/>
              <w:keepLines w:val="0"/>
              <w:widowControl/>
              <w:suppressLineNumbers w:val="0"/>
              <w:ind w:left="0" w:leftChars="0" w:firstLine="0" w:firstLineChars="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询价单位</w:t>
            </w:r>
          </w:p>
        </w:tc>
        <w:tc>
          <w:tcPr>
            <w:tcW w:w="4992" w:type="dxa"/>
            <w:gridSpan w:val="2"/>
            <w:tcBorders>
              <w:top w:val="single" w:color="000000" w:sz="4" w:space="0"/>
              <w:left w:val="nil"/>
              <w:bottom w:val="single" w:color="000000" w:sz="4" w:space="0"/>
              <w:right w:val="single" w:color="000000" w:sz="4" w:space="0"/>
            </w:tcBorders>
            <w:shd w:val="clear" w:color="auto" w:fill="auto"/>
            <w:vAlign w:val="center"/>
          </w:tcPr>
          <w:p w14:paraId="33A7A4A6">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16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1F30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报价单位</w:t>
            </w:r>
          </w:p>
        </w:tc>
        <w:tc>
          <w:tcPr>
            <w:tcW w:w="504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6D57B">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76526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63475C">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联系人</w:t>
            </w:r>
          </w:p>
        </w:tc>
        <w:tc>
          <w:tcPr>
            <w:tcW w:w="4992" w:type="dxa"/>
            <w:gridSpan w:val="2"/>
            <w:tcBorders>
              <w:top w:val="single" w:color="000000" w:sz="4" w:space="0"/>
              <w:left w:val="nil"/>
              <w:bottom w:val="single" w:color="000000" w:sz="4" w:space="0"/>
              <w:right w:val="single" w:color="000000" w:sz="4" w:space="0"/>
            </w:tcBorders>
            <w:shd w:val="clear" w:color="auto" w:fill="auto"/>
            <w:vAlign w:val="center"/>
          </w:tcPr>
          <w:p w14:paraId="367BE35E">
            <w:pPr>
              <w:jc w:val="center"/>
              <w:rPr>
                <w:rFonts w:hint="eastAsia" w:ascii="黑体" w:hAnsi="宋体" w:eastAsia="黑体" w:cs="黑体"/>
                <w:i w:val="0"/>
                <w:iCs w:val="0"/>
                <w:color w:val="000000"/>
                <w:sz w:val="24"/>
                <w:szCs w:val="24"/>
                <w:u w:val="none"/>
              </w:rPr>
            </w:pPr>
          </w:p>
        </w:tc>
        <w:tc>
          <w:tcPr>
            <w:tcW w:w="16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D112A5">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法定代表人或授权委托人</w:t>
            </w:r>
          </w:p>
        </w:tc>
        <w:tc>
          <w:tcPr>
            <w:tcW w:w="504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BBAD5">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0C133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F0321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4992" w:type="dxa"/>
            <w:gridSpan w:val="2"/>
            <w:tcBorders>
              <w:top w:val="single" w:color="000000" w:sz="4" w:space="0"/>
              <w:left w:val="nil"/>
              <w:bottom w:val="single" w:color="000000" w:sz="4" w:space="0"/>
              <w:right w:val="single" w:color="000000" w:sz="4" w:space="0"/>
            </w:tcBorders>
            <w:shd w:val="clear" w:color="auto" w:fill="auto"/>
            <w:vAlign w:val="center"/>
          </w:tcPr>
          <w:p w14:paraId="37BC099D">
            <w:pPr>
              <w:jc w:val="center"/>
              <w:rPr>
                <w:rFonts w:hint="eastAsia" w:ascii="黑体" w:hAnsi="宋体" w:eastAsia="黑体" w:cs="黑体"/>
                <w:i w:val="0"/>
                <w:iCs w:val="0"/>
                <w:color w:val="000000"/>
                <w:sz w:val="24"/>
                <w:szCs w:val="24"/>
                <w:u w:val="none"/>
              </w:rPr>
            </w:pPr>
          </w:p>
        </w:tc>
        <w:tc>
          <w:tcPr>
            <w:tcW w:w="16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9C169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504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CE9B8">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5CDF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455B1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4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FF1979">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lang w:val="en-US" w:eastAsia="zh-CN" w:bidi="ar"/>
              </w:rPr>
              <w:fldChar w:fldCharType="begin"/>
            </w:r>
            <w:r>
              <w:rPr>
                <w:rFonts w:hint="eastAsia" w:ascii="宋体" w:hAnsi="宋体" w:eastAsia="宋体" w:cs="宋体"/>
                <w:i w:val="0"/>
                <w:iCs w:val="0"/>
                <w:kern w:val="0"/>
                <w:sz w:val="22"/>
                <w:szCs w:val="22"/>
                <w:u w:val="single"/>
                <w:lang w:val="en-US" w:eastAsia="zh-CN" w:bidi="ar"/>
              </w:rPr>
              <w:instrText xml:space="preserve"> HYPERLINK "mailto:HABAccb@163.com" </w:instrText>
            </w:r>
            <w:r>
              <w:rPr>
                <w:rFonts w:hint="eastAsia" w:ascii="宋体" w:hAnsi="宋体" w:eastAsia="宋体" w:cs="宋体"/>
                <w:i w:val="0"/>
                <w:iCs w:val="0"/>
                <w:kern w:val="0"/>
                <w:sz w:val="22"/>
                <w:szCs w:val="22"/>
                <w:u w:val="single"/>
                <w:lang w:val="en-US" w:eastAsia="zh-CN" w:bidi="ar"/>
              </w:rPr>
              <w:fldChar w:fldCharType="separate"/>
            </w:r>
            <w:r>
              <w:rPr>
                <w:rStyle w:val="27"/>
                <w:rFonts w:hint="eastAsia" w:ascii="宋体" w:hAnsi="宋体" w:eastAsia="宋体" w:cs="宋体"/>
                <w:i w:val="0"/>
                <w:iCs w:val="0"/>
                <w:sz w:val="22"/>
                <w:szCs w:val="22"/>
                <w:u w:val="single"/>
              </w:rPr>
              <w:t>HABAccb@163.com</w:t>
            </w:r>
            <w:r>
              <w:rPr>
                <w:rFonts w:hint="eastAsia" w:ascii="宋体" w:hAnsi="宋体" w:eastAsia="宋体" w:cs="宋体"/>
                <w:i w:val="0"/>
                <w:iCs w:val="0"/>
                <w:kern w:val="0"/>
                <w:sz w:val="22"/>
                <w:szCs w:val="22"/>
                <w:u w:val="single"/>
                <w:lang w:val="en-US" w:eastAsia="zh-CN" w:bidi="ar"/>
              </w:rPr>
              <w:fldChar w:fldCharType="end"/>
            </w:r>
          </w:p>
        </w:tc>
        <w:tc>
          <w:tcPr>
            <w:tcW w:w="16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09EF0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504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64C4A">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6089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9CDF6C">
            <w:pPr>
              <w:jc w:val="center"/>
              <w:rPr>
                <w:rFonts w:hint="eastAsia" w:ascii="黑体" w:hAnsi="宋体" w:eastAsia="黑体" w:cs="黑体"/>
                <w:i w:val="0"/>
                <w:iCs w:val="0"/>
                <w:color w:val="000000"/>
                <w:sz w:val="24"/>
                <w:szCs w:val="24"/>
                <w:u w:val="none"/>
              </w:rPr>
            </w:pPr>
          </w:p>
        </w:tc>
        <w:tc>
          <w:tcPr>
            <w:tcW w:w="4992" w:type="dxa"/>
            <w:gridSpan w:val="2"/>
            <w:tcBorders>
              <w:top w:val="single" w:color="000000" w:sz="4" w:space="0"/>
              <w:left w:val="nil"/>
              <w:bottom w:val="single" w:color="000000" w:sz="4" w:space="0"/>
              <w:right w:val="single" w:color="000000" w:sz="4" w:space="0"/>
            </w:tcBorders>
            <w:shd w:val="clear" w:color="auto" w:fill="auto"/>
            <w:vAlign w:val="center"/>
          </w:tcPr>
          <w:p w14:paraId="1E661D74">
            <w:pPr>
              <w:jc w:val="center"/>
              <w:rPr>
                <w:rFonts w:hint="eastAsia" w:ascii="黑体" w:hAnsi="宋体" w:eastAsia="黑体" w:cs="黑体"/>
                <w:i w:val="0"/>
                <w:iCs w:val="0"/>
                <w:color w:val="000000"/>
                <w:sz w:val="24"/>
                <w:szCs w:val="24"/>
                <w:u w:val="none"/>
              </w:rPr>
            </w:pPr>
          </w:p>
        </w:tc>
        <w:tc>
          <w:tcPr>
            <w:tcW w:w="16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9FC601">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报价日期</w:t>
            </w:r>
          </w:p>
        </w:tc>
        <w:tc>
          <w:tcPr>
            <w:tcW w:w="504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2E9C2">
            <w:pPr>
              <w:keepNext w:val="0"/>
              <w:keepLines w:val="0"/>
              <w:widowControl/>
              <w:suppressLineNumbers w:val="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36EFF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D4264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13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38EC3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项目名称</w:t>
            </w:r>
          </w:p>
        </w:tc>
        <w:tc>
          <w:tcPr>
            <w:tcW w:w="4992" w:type="dxa"/>
            <w:gridSpan w:val="2"/>
            <w:vMerge w:val="restart"/>
            <w:tcBorders>
              <w:top w:val="single" w:color="000000" w:sz="4" w:space="0"/>
              <w:left w:val="nil"/>
              <w:bottom w:val="single" w:color="000000" w:sz="4" w:space="0"/>
              <w:right w:val="single" w:color="000000" w:sz="4" w:space="0"/>
            </w:tcBorders>
            <w:shd w:val="clear" w:color="auto" w:fill="auto"/>
            <w:vAlign w:val="center"/>
          </w:tcPr>
          <w:p w14:paraId="7E0314E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技术参数</w:t>
            </w:r>
          </w:p>
        </w:tc>
        <w:tc>
          <w:tcPr>
            <w:tcW w:w="8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74B89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单位</w:t>
            </w:r>
          </w:p>
        </w:tc>
        <w:tc>
          <w:tcPr>
            <w:tcW w:w="8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93D25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数量</w:t>
            </w:r>
          </w:p>
        </w:tc>
        <w:tc>
          <w:tcPr>
            <w:tcW w:w="1590" w:type="dxa"/>
            <w:vMerge w:val="restart"/>
            <w:tcBorders>
              <w:top w:val="single" w:color="000000" w:sz="4" w:space="0"/>
              <w:left w:val="single" w:color="000000" w:sz="4" w:space="0"/>
              <w:right w:val="single" w:color="000000" w:sz="4" w:space="0"/>
            </w:tcBorders>
            <w:shd w:val="clear" w:color="auto" w:fill="auto"/>
            <w:vAlign w:val="center"/>
          </w:tcPr>
          <w:p w14:paraId="676D6544">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所投品牌型号</w:t>
            </w:r>
          </w:p>
        </w:tc>
        <w:tc>
          <w:tcPr>
            <w:tcW w:w="23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10B64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金额（元）</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142AB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推荐品牌</w:t>
            </w:r>
          </w:p>
        </w:tc>
      </w:tr>
      <w:tr w14:paraId="61BB8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D3CA53">
            <w:pPr>
              <w:jc w:val="center"/>
              <w:rPr>
                <w:rFonts w:hint="eastAsia" w:ascii="黑体" w:hAnsi="宋体" w:eastAsia="黑体" w:cs="黑体"/>
                <w:i w:val="0"/>
                <w:iCs w:val="0"/>
                <w:color w:val="000000"/>
                <w:sz w:val="24"/>
                <w:szCs w:val="24"/>
                <w:u w:val="none"/>
              </w:rPr>
            </w:pPr>
          </w:p>
        </w:tc>
        <w:tc>
          <w:tcPr>
            <w:tcW w:w="13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0165A">
            <w:pPr>
              <w:jc w:val="center"/>
              <w:rPr>
                <w:rFonts w:hint="eastAsia" w:ascii="黑体" w:hAnsi="宋体" w:eastAsia="黑体" w:cs="黑体"/>
                <w:i w:val="0"/>
                <w:iCs w:val="0"/>
                <w:color w:val="000000"/>
                <w:sz w:val="24"/>
                <w:szCs w:val="24"/>
                <w:u w:val="none"/>
              </w:rPr>
            </w:pPr>
          </w:p>
        </w:tc>
        <w:tc>
          <w:tcPr>
            <w:tcW w:w="4992" w:type="dxa"/>
            <w:gridSpan w:val="2"/>
            <w:vMerge w:val="continue"/>
            <w:tcBorders>
              <w:top w:val="single" w:color="000000" w:sz="4" w:space="0"/>
              <w:left w:val="nil"/>
              <w:bottom w:val="single" w:color="000000" w:sz="4" w:space="0"/>
              <w:right w:val="single" w:color="000000" w:sz="4" w:space="0"/>
            </w:tcBorders>
            <w:shd w:val="clear" w:color="auto" w:fill="auto"/>
            <w:vAlign w:val="center"/>
          </w:tcPr>
          <w:p w14:paraId="7D193DFF">
            <w:pPr>
              <w:jc w:val="center"/>
              <w:rPr>
                <w:rFonts w:hint="eastAsia" w:ascii="黑体" w:hAnsi="宋体" w:eastAsia="黑体" w:cs="黑体"/>
                <w:i w:val="0"/>
                <w:iCs w:val="0"/>
                <w:color w:val="000000"/>
                <w:sz w:val="24"/>
                <w:szCs w:val="24"/>
                <w:u w:val="none"/>
              </w:rPr>
            </w:pPr>
          </w:p>
        </w:tc>
        <w:tc>
          <w:tcPr>
            <w:tcW w:w="8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A677A">
            <w:pPr>
              <w:jc w:val="center"/>
              <w:rPr>
                <w:rFonts w:hint="eastAsia" w:ascii="黑体" w:hAnsi="宋体" w:eastAsia="黑体" w:cs="黑体"/>
                <w:i w:val="0"/>
                <w:iCs w:val="0"/>
                <w:color w:val="000000"/>
                <w:sz w:val="24"/>
                <w:szCs w:val="24"/>
                <w:u w:val="none"/>
              </w:rPr>
            </w:pPr>
          </w:p>
        </w:tc>
        <w:tc>
          <w:tcPr>
            <w:tcW w:w="8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80B4AF">
            <w:pPr>
              <w:jc w:val="center"/>
              <w:rPr>
                <w:rFonts w:hint="eastAsia" w:ascii="黑体" w:hAnsi="宋体" w:eastAsia="黑体" w:cs="黑体"/>
                <w:i w:val="0"/>
                <w:iCs w:val="0"/>
                <w:color w:val="000000"/>
                <w:sz w:val="24"/>
                <w:szCs w:val="24"/>
                <w:u w:val="none"/>
              </w:rPr>
            </w:pPr>
          </w:p>
        </w:tc>
        <w:tc>
          <w:tcPr>
            <w:tcW w:w="1590" w:type="dxa"/>
            <w:vMerge w:val="continue"/>
            <w:tcBorders>
              <w:left w:val="single" w:color="000000" w:sz="4" w:space="0"/>
              <w:bottom w:val="single" w:color="000000" w:sz="4" w:space="0"/>
              <w:right w:val="single" w:color="000000" w:sz="4" w:space="0"/>
            </w:tcBorders>
            <w:shd w:val="clear" w:color="auto" w:fill="auto"/>
            <w:vAlign w:val="center"/>
          </w:tcPr>
          <w:p w14:paraId="2B45F62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1BE5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单价</w:t>
            </w:r>
          </w:p>
        </w:tc>
        <w:tc>
          <w:tcPr>
            <w:tcW w:w="1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BD04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合价</w:t>
            </w: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A836D0">
            <w:pPr>
              <w:jc w:val="center"/>
              <w:rPr>
                <w:rFonts w:hint="eastAsia" w:ascii="黑体" w:hAnsi="宋体" w:eastAsia="黑体" w:cs="黑体"/>
                <w:i w:val="0"/>
                <w:iCs w:val="0"/>
                <w:color w:val="000000"/>
                <w:sz w:val="24"/>
                <w:szCs w:val="24"/>
                <w:u w:val="none"/>
              </w:rPr>
            </w:pPr>
          </w:p>
        </w:tc>
      </w:tr>
      <w:tr w14:paraId="6538A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64C4">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591CD">
            <w:pPr>
              <w:keepNext w:val="0"/>
              <w:keepLines w:val="0"/>
              <w:widowControl/>
              <w:suppressLineNumbers w:val="0"/>
              <w:spacing w:line="240" w:lineRule="auto"/>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核心交换机</w:t>
            </w:r>
          </w:p>
        </w:tc>
        <w:tc>
          <w:tcPr>
            <w:tcW w:w="4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50451D">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★1、交换容量：2.56Tbps/23.04Tbps，包转发率≥480Mpps（以官网最小值为准，提供截图证明）；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2、端口：万兆光口≥16个，千兆光口≥36个；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3、支持静态路由、RIP、RIPng、OSPF、OSPFv3、BGP、BGP4+、ISIS、ISISv6；</w:t>
            </w:r>
            <w:r>
              <w:rPr>
                <w:rFonts w:hint="eastAsia" w:ascii="宋体" w:hAnsi="宋体" w:eastAsia="宋体" w:cs="宋体"/>
                <w:i w:val="0"/>
                <w:iCs w:val="0"/>
                <w:color w:val="000000"/>
                <w:kern w:val="0"/>
                <w:sz w:val="22"/>
                <w:szCs w:val="22"/>
                <w:u w:val="none"/>
                <w:lang w:val="en-US" w:eastAsia="zh-CN" w:bidi="ar"/>
              </w:rPr>
              <w:br w:type="textWrapping"/>
            </w:r>
            <w:r>
              <w:rPr>
                <w:rStyle w:val="51"/>
                <w:lang w:val="en-US" w:eastAsia="zh-CN" w:bidi="ar"/>
              </w:rPr>
              <w:t>4、支持MPLS L3VPN、MPLS L2VPN(VPLS，VLL)、MPLS-TE、MPLS QoS；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5、电源≥1个；</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C6A56">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C3FE4">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590" w:type="dxa"/>
            <w:tcBorders>
              <w:top w:val="nil"/>
              <w:left w:val="single" w:color="000000" w:sz="4" w:space="0"/>
              <w:bottom w:val="single" w:color="000000" w:sz="4" w:space="0"/>
              <w:right w:val="single" w:color="000000" w:sz="4" w:space="0"/>
            </w:tcBorders>
            <w:shd w:val="clear" w:color="auto" w:fill="auto"/>
            <w:vAlign w:val="center"/>
          </w:tcPr>
          <w:p w14:paraId="75F2F401">
            <w:pPr>
              <w:rPr>
                <w:rFonts w:hint="eastAsia" w:ascii="宋体" w:hAnsi="宋体" w:eastAsia="宋体" w:cs="宋体"/>
                <w:i w:val="0"/>
                <w:iCs w:val="0"/>
                <w:color w:val="000000"/>
                <w:kern w:val="0"/>
                <w:sz w:val="24"/>
                <w:szCs w:val="24"/>
                <w:u w:val="none"/>
                <w:lang w:val="en-US" w:eastAsia="zh-CN" w:bidi="ar"/>
              </w:rPr>
            </w:pPr>
          </w:p>
        </w:tc>
        <w:tc>
          <w:tcPr>
            <w:tcW w:w="1280" w:type="dxa"/>
            <w:tcBorders>
              <w:top w:val="nil"/>
              <w:left w:val="single" w:color="000000" w:sz="4" w:space="0"/>
              <w:bottom w:val="single" w:color="000000" w:sz="4" w:space="0"/>
              <w:right w:val="single" w:color="000000" w:sz="4" w:space="0"/>
            </w:tcBorders>
            <w:shd w:val="clear" w:color="auto" w:fill="auto"/>
            <w:vAlign w:val="center"/>
          </w:tcPr>
          <w:p w14:paraId="28D076C1">
            <w:pPr>
              <w:rPr>
                <w:rFonts w:hint="eastAsia" w:ascii="宋体" w:hAnsi="宋体" w:eastAsia="宋体" w:cs="宋体"/>
                <w:i w:val="0"/>
                <w:iCs w:val="0"/>
                <w:color w:val="000000"/>
                <w:kern w:val="0"/>
                <w:sz w:val="24"/>
                <w:szCs w:val="24"/>
                <w:u w:val="none"/>
                <w:lang w:val="en-US" w:eastAsia="zh-CN" w:bidi="ar"/>
              </w:rPr>
            </w:pPr>
          </w:p>
        </w:tc>
        <w:tc>
          <w:tcPr>
            <w:tcW w:w="1060" w:type="dxa"/>
            <w:tcBorders>
              <w:top w:val="nil"/>
              <w:left w:val="single" w:color="000000" w:sz="4" w:space="0"/>
              <w:bottom w:val="single" w:color="000000" w:sz="4" w:space="0"/>
              <w:right w:val="single" w:color="000000" w:sz="4" w:space="0"/>
            </w:tcBorders>
            <w:shd w:val="clear" w:color="auto" w:fill="auto"/>
            <w:vAlign w:val="center"/>
          </w:tcPr>
          <w:p w14:paraId="04A4A8F3">
            <w:pPr>
              <w:rPr>
                <w:rFonts w:hint="eastAsia" w:ascii="宋体" w:hAnsi="宋体" w:eastAsia="宋体" w:cs="宋体"/>
                <w:i w:val="0"/>
                <w:iCs w:val="0"/>
                <w:color w:val="000000"/>
                <w:kern w:val="0"/>
                <w:sz w:val="24"/>
                <w:szCs w:val="24"/>
                <w:u w:val="none"/>
                <w:lang w:val="en-US" w:eastAsia="zh-CN" w:bidi="ar"/>
              </w:rPr>
            </w:pPr>
          </w:p>
        </w:tc>
        <w:tc>
          <w:tcPr>
            <w:tcW w:w="1110" w:type="dxa"/>
            <w:vMerge w:val="restart"/>
            <w:tcBorders>
              <w:top w:val="nil"/>
              <w:left w:val="single" w:color="000000" w:sz="4" w:space="0"/>
              <w:right w:val="single" w:color="000000" w:sz="4" w:space="0"/>
            </w:tcBorders>
            <w:shd w:val="clear" w:color="auto" w:fill="auto"/>
            <w:vAlign w:val="center"/>
          </w:tcPr>
          <w:p w14:paraId="12287B95">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p>
          <w:p w14:paraId="09AF2081">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p>
          <w:p w14:paraId="7C6DC965">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p>
          <w:p w14:paraId="28B5031C">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p>
          <w:p w14:paraId="2629DE9D">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p>
          <w:p w14:paraId="4C944B3E">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p>
          <w:p w14:paraId="2D0E49E1">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p>
          <w:p w14:paraId="1D4D21B0">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p>
          <w:p w14:paraId="29860C6E">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p>
          <w:p w14:paraId="61260118">
            <w:pPr>
              <w:keepNext w:val="0"/>
              <w:keepLines w:val="0"/>
              <w:widowControl/>
              <w:suppressLineNumbers w:val="0"/>
              <w:ind w:left="0" w:leftChars="0" w:firstLine="0" w:firstLineChars="0"/>
              <w:jc w:val="center"/>
              <w:textAlignment w:val="center"/>
              <w:rPr>
                <w:rFonts w:hint="eastAsia" w:ascii="宋体" w:hAnsi="宋体" w:cs="宋体"/>
                <w:i w:val="0"/>
                <w:iCs w:val="0"/>
                <w:color w:val="000000"/>
                <w:kern w:val="0"/>
                <w:sz w:val="24"/>
                <w:szCs w:val="24"/>
                <w:u w:val="none"/>
                <w:lang w:val="en-US" w:eastAsia="zh-CN" w:bidi="ar"/>
              </w:rPr>
            </w:pPr>
          </w:p>
          <w:p w14:paraId="02A1A467">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华为、华三、锐捷</w:t>
            </w:r>
          </w:p>
        </w:tc>
      </w:tr>
      <w:tr w14:paraId="3FB91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2B82F">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86226">
            <w:pPr>
              <w:keepNext w:val="0"/>
              <w:keepLines w:val="0"/>
              <w:widowControl/>
              <w:suppressLineNumbers w:val="0"/>
              <w:spacing w:line="240" w:lineRule="auto"/>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千兆光模块</w:t>
            </w:r>
          </w:p>
        </w:tc>
        <w:tc>
          <w:tcPr>
            <w:tcW w:w="4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F7FD7C">
            <w:pPr>
              <w:keepNext w:val="0"/>
              <w:keepLines w:val="0"/>
              <w:widowControl/>
              <w:suppressLineNumbers w:val="0"/>
              <w:spacing w:line="240" w:lineRule="auto"/>
              <w:ind w:firstLine="440" w:firstLineChars="20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千兆光模块，不低于10KM；</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FDFAD">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块</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4DE84">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38</w:t>
            </w:r>
          </w:p>
        </w:tc>
        <w:tc>
          <w:tcPr>
            <w:tcW w:w="1590" w:type="dxa"/>
            <w:tcBorders>
              <w:top w:val="nil"/>
              <w:left w:val="single" w:color="000000" w:sz="4" w:space="0"/>
              <w:bottom w:val="single" w:color="000000" w:sz="4" w:space="0"/>
              <w:right w:val="single" w:color="000000" w:sz="4" w:space="0"/>
            </w:tcBorders>
            <w:shd w:val="clear" w:color="auto" w:fill="auto"/>
            <w:vAlign w:val="center"/>
          </w:tcPr>
          <w:p w14:paraId="773201F8">
            <w:pPr>
              <w:rPr>
                <w:rFonts w:hint="eastAsia" w:ascii="宋体" w:hAnsi="宋体" w:eastAsia="宋体" w:cs="宋体"/>
                <w:i w:val="0"/>
                <w:iCs w:val="0"/>
                <w:color w:val="000000"/>
                <w:kern w:val="0"/>
                <w:sz w:val="24"/>
                <w:szCs w:val="24"/>
                <w:u w:val="none"/>
                <w:lang w:val="en-US" w:eastAsia="zh-CN" w:bidi="ar"/>
              </w:rPr>
            </w:pPr>
          </w:p>
        </w:tc>
        <w:tc>
          <w:tcPr>
            <w:tcW w:w="1280" w:type="dxa"/>
            <w:tcBorders>
              <w:top w:val="nil"/>
              <w:left w:val="single" w:color="000000" w:sz="4" w:space="0"/>
              <w:bottom w:val="single" w:color="000000" w:sz="4" w:space="0"/>
              <w:right w:val="single" w:color="000000" w:sz="4" w:space="0"/>
            </w:tcBorders>
            <w:shd w:val="clear" w:color="auto" w:fill="auto"/>
            <w:vAlign w:val="center"/>
          </w:tcPr>
          <w:p w14:paraId="48FD1367">
            <w:pPr>
              <w:rPr>
                <w:rFonts w:hint="eastAsia" w:ascii="宋体" w:hAnsi="宋体" w:eastAsia="宋体" w:cs="宋体"/>
                <w:i w:val="0"/>
                <w:iCs w:val="0"/>
                <w:color w:val="000000"/>
                <w:kern w:val="0"/>
                <w:sz w:val="24"/>
                <w:szCs w:val="24"/>
                <w:u w:val="none"/>
                <w:lang w:val="en-US" w:eastAsia="zh-CN" w:bidi="ar"/>
              </w:rPr>
            </w:pPr>
          </w:p>
        </w:tc>
        <w:tc>
          <w:tcPr>
            <w:tcW w:w="1060" w:type="dxa"/>
            <w:tcBorders>
              <w:top w:val="nil"/>
              <w:left w:val="single" w:color="000000" w:sz="4" w:space="0"/>
              <w:bottom w:val="single" w:color="000000" w:sz="4" w:space="0"/>
              <w:right w:val="single" w:color="000000" w:sz="4" w:space="0"/>
            </w:tcBorders>
            <w:shd w:val="clear" w:color="auto" w:fill="auto"/>
            <w:vAlign w:val="center"/>
          </w:tcPr>
          <w:p w14:paraId="2DBDCC9F">
            <w:pPr>
              <w:rPr>
                <w:rFonts w:hint="eastAsia" w:ascii="宋体" w:hAnsi="宋体" w:eastAsia="宋体" w:cs="宋体"/>
                <w:i w:val="0"/>
                <w:iCs w:val="0"/>
                <w:color w:val="000000"/>
                <w:kern w:val="0"/>
                <w:sz w:val="24"/>
                <w:szCs w:val="24"/>
                <w:u w:val="none"/>
                <w:lang w:val="en-US" w:eastAsia="zh-CN" w:bidi="ar"/>
              </w:rPr>
            </w:pPr>
          </w:p>
        </w:tc>
        <w:tc>
          <w:tcPr>
            <w:tcW w:w="1110" w:type="dxa"/>
            <w:vMerge w:val="continue"/>
            <w:tcBorders>
              <w:left w:val="single" w:color="000000" w:sz="4" w:space="0"/>
              <w:right w:val="single" w:color="000000" w:sz="4" w:space="0"/>
            </w:tcBorders>
            <w:shd w:val="clear" w:color="auto" w:fill="auto"/>
            <w:vAlign w:val="center"/>
          </w:tcPr>
          <w:p w14:paraId="342095FF">
            <w:pPr>
              <w:rPr>
                <w:rFonts w:hint="eastAsia" w:ascii="宋体" w:hAnsi="宋体" w:eastAsia="宋体" w:cs="宋体"/>
                <w:i w:val="0"/>
                <w:iCs w:val="0"/>
                <w:color w:val="000000"/>
                <w:kern w:val="0"/>
                <w:sz w:val="24"/>
                <w:szCs w:val="24"/>
                <w:u w:val="none"/>
                <w:lang w:val="en-US" w:eastAsia="zh-CN" w:bidi="ar"/>
              </w:rPr>
            </w:pPr>
          </w:p>
        </w:tc>
      </w:tr>
      <w:tr w14:paraId="5FA28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28A14">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29FE3">
            <w:pPr>
              <w:keepNext w:val="0"/>
              <w:keepLines w:val="0"/>
              <w:widowControl/>
              <w:suppressLineNumbers w:val="0"/>
              <w:spacing w:line="240" w:lineRule="auto"/>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48口接入交换机</w:t>
            </w:r>
          </w:p>
        </w:tc>
        <w:tc>
          <w:tcPr>
            <w:tcW w:w="4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73F8CF">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★1、交换容量≥336Gbps，包转发率≥108Mpps（以官网最小值为准，提供截图证明）；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2、端口：10/100/1000Base-T以太网端口≥48个,千兆 SFP端口≥4个；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3、为了提高设备散热的可靠性，支持风扇散热；</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4、支持静态路由、RIP、OSPF、RIPng、OSPFv3；</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5、支持MAC表项≥32K，IPv4 路由表≥4K，IPv6 路由表≥1K；</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6、支持G.8032（ERPS）标准以太环网协议，故障倒换收敛时间小于50ms；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7、支持Telemetry技术,配合网络分析组件通过智能故障识别算法对网络数据进行分析，精准展现网络实时状态；</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F0DA0">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1565E">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1590" w:type="dxa"/>
            <w:tcBorders>
              <w:top w:val="nil"/>
              <w:left w:val="single" w:color="000000" w:sz="4" w:space="0"/>
              <w:bottom w:val="single" w:color="000000" w:sz="4" w:space="0"/>
              <w:right w:val="single" w:color="000000" w:sz="4" w:space="0"/>
            </w:tcBorders>
            <w:shd w:val="clear" w:color="auto" w:fill="auto"/>
            <w:vAlign w:val="center"/>
          </w:tcPr>
          <w:p w14:paraId="3403B53B">
            <w:pPr>
              <w:rPr>
                <w:rFonts w:hint="eastAsia" w:ascii="宋体" w:hAnsi="宋体" w:eastAsia="宋体" w:cs="宋体"/>
                <w:i w:val="0"/>
                <w:iCs w:val="0"/>
                <w:color w:val="000000"/>
                <w:kern w:val="0"/>
                <w:sz w:val="24"/>
                <w:szCs w:val="24"/>
                <w:u w:val="none"/>
                <w:lang w:val="en-US" w:eastAsia="zh-CN" w:bidi="ar"/>
              </w:rPr>
            </w:pPr>
          </w:p>
        </w:tc>
        <w:tc>
          <w:tcPr>
            <w:tcW w:w="1280" w:type="dxa"/>
            <w:tcBorders>
              <w:top w:val="nil"/>
              <w:left w:val="single" w:color="000000" w:sz="4" w:space="0"/>
              <w:bottom w:val="single" w:color="000000" w:sz="4" w:space="0"/>
              <w:right w:val="single" w:color="000000" w:sz="4" w:space="0"/>
            </w:tcBorders>
            <w:shd w:val="clear" w:color="auto" w:fill="auto"/>
            <w:vAlign w:val="center"/>
          </w:tcPr>
          <w:p w14:paraId="2DE79842">
            <w:pPr>
              <w:rPr>
                <w:rFonts w:hint="eastAsia" w:ascii="宋体" w:hAnsi="宋体" w:eastAsia="宋体" w:cs="宋体"/>
                <w:i w:val="0"/>
                <w:iCs w:val="0"/>
                <w:color w:val="000000"/>
                <w:kern w:val="0"/>
                <w:sz w:val="24"/>
                <w:szCs w:val="24"/>
                <w:u w:val="none"/>
                <w:lang w:val="en-US" w:eastAsia="zh-CN" w:bidi="ar"/>
              </w:rPr>
            </w:pPr>
          </w:p>
        </w:tc>
        <w:tc>
          <w:tcPr>
            <w:tcW w:w="1060" w:type="dxa"/>
            <w:tcBorders>
              <w:top w:val="nil"/>
              <w:left w:val="single" w:color="000000" w:sz="4" w:space="0"/>
              <w:bottom w:val="single" w:color="000000" w:sz="4" w:space="0"/>
              <w:right w:val="single" w:color="000000" w:sz="4" w:space="0"/>
            </w:tcBorders>
            <w:shd w:val="clear" w:color="auto" w:fill="auto"/>
            <w:vAlign w:val="center"/>
          </w:tcPr>
          <w:p w14:paraId="3D5E1C96">
            <w:pPr>
              <w:rPr>
                <w:rFonts w:hint="eastAsia" w:ascii="宋体" w:hAnsi="宋体" w:eastAsia="宋体" w:cs="宋体"/>
                <w:i w:val="0"/>
                <w:iCs w:val="0"/>
                <w:color w:val="000000"/>
                <w:kern w:val="0"/>
                <w:sz w:val="24"/>
                <w:szCs w:val="24"/>
                <w:u w:val="none"/>
                <w:lang w:val="en-US" w:eastAsia="zh-CN" w:bidi="ar"/>
              </w:rPr>
            </w:pPr>
          </w:p>
        </w:tc>
        <w:tc>
          <w:tcPr>
            <w:tcW w:w="1110" w:type="dxa"/>
            <w:vMerge w:val="continue"/>
            <w:tcBorders>
              <w:left w:val="single" w:color="000000" w:sz="4" w:space="0"/>
              <w:right w:val="single" w:color="000000" w:sz="4" w:space="0"/>
            </w:tcBorders>
            <w:shd w:val="clear" w:color="auto" w:fill="auto"/>
            <w:vAlign w:val="center"/>
          </w:tcPr>
          <w:p w14:paraId="22425B5B">
            <w:pPr>
              <w:rPr>
                <w:rFonts w:hint="eastAsia" w:ascii="宋体" w:hAnsi="宋体" w:eastAsia="宋体" w:cs="宋体"/>
                <w:i w:val="0"/>
                <w:iCs w:val="0"/>
                <w:color w:val="000000"/>
                <w:kern w:val="0"/>
                <w:sz w:val="24"/>
                <w:szCs w:val="24"/>
                <w:u w:val="none"/>
                <w:lang w:val="en-US" w:eastAsia="zh-CN" w:bidi="ar"/>
              </w:rPr>
            </w:pPr>
          </w:p>
        </w:tc>
      </w:tr>
      <w:tr w14:paraId="54011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2ED77">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26BDA">
            <w:pPr>
              <w:keepNext w:val="0"/>
              <w:keepLines w:val="0"/>
              <w:widowControl/>
              <w:suppressLineNumbers w:val="0"/>
              <w:spacing w:line="240" w:lineRule="auto"/>
              <w:ind w:left="0" w:leftChars="0"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核心交换机</w:t>
            </w:r>
          </w:p>
        </w:tc>
        <w:tc>
          <w:tcPr>
            <w:tcW w:w="4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C0B0E4">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★1、交换容量≥25.6Tbps，包转发率≥1080Mpps（以官网最小值为准，提供截图证明）；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2、端口：整机提供≥24个千兆电口+24个万兆光口+2个40G光口；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3、支持IPv4和IPv6双协议栈，支持RIP、OSPF、IS-IS、BGP、等价路由、策略路由。</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4、支持跨设备链路聚合技术DRNI/M-LAG，提供官网彩页证明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5、支持通过标准以太端口进行堆叠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6、实现CPU保护功能，能限制非法报文对CPU的攻击，保护交换机在各种环境下稳定工作。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7、支持本地端口镜像和远程端口镜像；支持流镜像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8、支持G.8032（ERPS）标准环网协议，故障倒换收敛时间小于50毫秒，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9、配置冗余热插拔电源，冗余风扇。配置1根5米万兆堆叠线缆。</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6C2B3">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B0294">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590" w:type="dxa"/>
            <w:tcBorders>
              <w:top w:val="nil"/>
              <w:left w:val="single" w:color="000000" w:sz="4" w:space="0"/>
              <w:bottom w:val="single" w:color="000000" w:sz="4" w:space="0"/>
              <w:right w:val="single" w:color="000000" w:sz="4" w:space="0"/>
            </w:tcBorders>
            <w:shd w:val="clear" w:color="auto" w:fill="auto"/>
            <w:vAlign w:val="center"/>
          </w:tcPr>
          <w:p w14:paraId="3686550D">
            <w:pPr>
              <w:rPr>
                <w:rFonts w:hint="eastAsia" w:ascii="宋体" w:hAnsi="宋体" w:eastAsia="宋体" w:cs="宋体"/>
                <w:i w:val="0"/>
                <w:iCs w:val="0"/>
                <w:color w:val="000000"/>
                <w:kern w:val="0"/>
                <w:sz w:val="24"/>
                <w:szCs w:val="24"/>
                <w:u w:val="none"/>
                <w:lang w:val="en-US" w:eastAsia="zh-CN" w:bidi="ar"/>
              </w:rPr>
            </w:pPr>
          </w:p>
        </w:tc>
        <w:tc>
          <w:tcPr>
            <w:tcW w:w="1280" w:type="dxa"/>
            <w:tcBorders>
              <w:top w:val="nil"/>
              <w:left w:val="single" w:color="000000" w:sz="4" w:space="0"/>
              <w:bottom w:val="single" w:color="000000" w:sz="4" w:space="0"/>
              <w:right w:val="single" w:color="000000" w:sz="4" w:space="0"/>
            </w:tcBorders>
            <w:shd w:val="clear" w:color="auto" w:fill="auto"/>
            <w:vAlign w:val="center"/>
          </w:tcPr>
          <w:p w14:paraId="3CBE0C64">
            <w:pPr>
              <w:rPr>
                <w:rFonts w:hint="eastAsia" w:ascii="宋体" w:hAnsi="宋体" w:eastAsia="宋体" w:cs="宋体"/>
                <w:i w:val="0"/>
                <w:iCs w:val="0"/>
                <w:color w:val="000000"/>
                <w:kern w:val="0"/>
                <w:sz w:val="24"/>
                <w:szCs w:val="24"/>
                <w:u w:val="none"/>
                <w:lang w:val="en-US" w:eastAsia="zh-CN" w:bidi="ar"/>
              </w:rPr>
            </w:pPr>
          </w:p>
        </w:tc>
        <w:tc>
          <w:tcPr>
            <w:tcW w:w="1060" w:type="dxa"/>
            <w:tcBorders>
              <w:top w:val="nil"/>
              <w:left w:val="single" w:color="000000" w:sz="4" w:space="0"/>
              <w:bottom w:val="single" w:color="000000" w:sz="4" w:space="0"/>
              <w:right w:val="single" w:color="000000" w:sz="4" w:space="0"/>
            </w:tcBorders>
            <w:shd w:val="clear" w:color="auto" w:fill="auto"/>
            <w:vAlign w:val="center"/>
          </w:tcPr>
          <w:p w14:paraId="41428F3F">
            <w:pPr>
              <w:rPr>
                <w:rFonts w:hint="eastAsia" w:ascii="宋体" w:hAnsi="宋体" w:eastAsia="宋体" w:cs="宋体"/>
                <w:i w:val="0"/>
                <w:iCs w:val="0"/>
                <w:color w:val="000000"/>
                <w:kern w:val="0"/>
                <w:sz w:val="24"/>
                <w:szCs w:val="24"/>
                <w:u w:val="none"/>
                <w:lang w:val="en-US" w:eastAsia="zh-CN" w:bidi="ar"/>
              </w:rPr>
            </w:pPr>
          </w:p>
        </w:tc>
        <w:tc>
          <w:tcPr>
            <w:tcW w:w="1110" w:type="dxa"/>
            <w:vMerge w:val="continue"/>
            <w:tcBorders>
              <w:left w:val="single" w:color="000000" w:sz="4" w:space="0"/>
              <w:right w:val="single" w:color="000000" w:sz="4" w:space="0"/>
            </w:tcBorders>
            <w:shd w:val="clear" w:color="auto" w:fill="auto"/>
            <w:vAlign w:val="center"/>
          </w:tcPr>
          <w:p w14:paraId="672A4C32">
            <w:pPr>
              <w:rPr>
                <w:rFonts w:hint="eastAsia" w:ascii="宋体" w:hAnsi="宋体" w:eastAsia="宋体" w:cs="宋体"/>
                <w:i w:val="0"/>
                <w:iCs w:val="0"/>
                <w:color w:val="000000"/>
                <w:kern w:val="0"/>
                <w:sz w:val="24"/>
                <w:szCs w:val="24"/>
                <w:u w:val="none"/>
                <w:lang w:val="en-US" w:eastAsia="zh-CN" w:bidi="ar"/>
              </w:rPr>
            </w:pPr>
          </w:p>
        </w:tc>
      </w:tr>
      <w:tr w14:paraId="401EAE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9F9FB">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1971E">
            <w:pPr>
              <w:keepNext w:val="0"/>
              <w:keepLines w:val="0"/>
              <w:widowControl/>
              <w:suppressLineNumbers w:val="0"/>
              <w:spacing w:line="240" w:lineRule="auto"/>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万兆光模块</w:t>
            </w:r>
          </w:p>
        </w:tc>
        <w:tc>
          <w:tcPr>
            <w:tcW w:w="4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2A7769">
            <w:pPr>
              <w:keepNext w:val="0"/>
              <w:keepLines w:val="0"/>
              <w:widowControl/>
              <w:suppressLineNumbers w:val="0"/>
              <w:spacing w:line="240" w:lineRule="auto"/>
              <w:ind w:firstLine="440" w:firstLineChars="20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万兆模块不低于40km；</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383BB">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块</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6A381">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1590" w:type="dxa"/>
            <w:tcBorders>
              <w:top w:val="nil"/>
              <w:left w:val="single" w:color="000000" w:sz="4" w:space="0"/>
              <w:bottom w:val="single" w:color="000000" w:sz="4" w:space="0"/>
              <w:right w:val="single" w:color="000000" w:sz="4" w:space="0"/>
            </w:tcBorders>
            <w:shd w:val="clear" w:color="auto" w:fill="auto"/>
            <w:vAlign w:val="center"/>
          </w:tcPr>
          <w:p w14:paraId="4175E211">
            <w:pPr>
              <w:rPr>
                <w:rFonts w:hint="eastAsia" w:ascii="宋体" w:hAnsi="宋体" w:eastAsia="宋体" w:cs="宋体"/>
                <w:i w:val="0"/>
                <w:iCs w:val="0"/>
                <w:color w:val="000000"/>
                <w:kern w:val="0"/>
                <w:sz w:val="24"/>
                <w:szCs w:val="24"/>
                <w:u w:val="none"/>
                <w:lang w:val="en-US" w:eastAsia="zh-CN" w:bidi="ar"/>
              </w:rPr>
            </w:pPr>
          </w:p>
        </w:tc>
        <w:tc>
          <w:tcPr>
            <w:tcW w:w="1280" w:type="dxa"/>
            <w:tcBorders>
              <w:top w:val="nil"/>
              <w:left w:val="single" w:color="000000" w:sz="4" w:space="0"/>
              <w:bottom w:val="single" w:color="000000" w:sz="4" w:space="0"/>
              <w:right w:val="single" w:color="000000" w:sz="4" w:space="0"/>
            </w:tcBorders>
            <w:shd w:val="clear" w:color="auto" w:fill="auto"/>
            <w:vAlign w:val="center"/>
          </w:tcPr>
          <w:p w14:paraId="186BFE01">
            <w:pPr>
              <w:rPr>
                <w:rFonts w:hint="eastAsia" w:ascii="宋体" w:hAnsi="宋体" w:eastAsia="宋体" w:cs="宋体"/>
                <w:i w:val="0"/>
                <w:iCs w:val="0"/>
                <w:color w:val="000000"/>
                <w:kern w:val="0"/>
                <w:sz w:val="24"/>
                <w:szCs w:val="24"/>
                <w:u w:val="none"/>
                <w:lang w:val="en-US" w:eastAsia="zh-CN" w:bidi="ar"/>
              </w:rPr>
            </w:pPr>
          </w:p>
        </w:tc>
        <w:tc>
          <w:tcPr>
            <w:tcW w:w="1060" w:type="dxa"/>
            <w:tcBorders>
              <w:top w:val="nil"/>
              <w:left w:val="single" w:color="000000" w:sz="4" w:space="0"/>
              <w:bottom w:val="single" w:color="000000" w:sz="4" w:space="0"/>
              <w:right w:val="single" w:color="000000" w:sz="4" w:space="0"/>
            </w:tcBorders>
            <w:shd w:val="clear" w:color="auto" w:fill="auto"/>
            <w:vAlign w:val="center"/>
          </w:tcPr>
          <w:p w14:paraId="2AF23A23">
            <w:pPr>
              <w:rPr>
                <w:rFonts w:hint="eastAsia" w:ascii="宋体" w:hAnsi="宋体" w:eastAsia="宋体" w:cs="宋体"/>
                <w:i w:val="0"/>
                <w:iCs w:val="0"/>
                <w:color w:val="000000"/>
                <w:kern w:val="0"/>
                <w:sz w:val="24"/>
                <w:szCs w:val="24"/>
                <w:u w:val="none"/>
                <w:lang w:val="en-US" w:eastAsia="zh-CN" w:bidi="ar"/>
              </w:rPr>
            </w:pPr>
          </w:p>
        </w:tc>
        <w:tc>
          <w:tcPr>
            <w:tcW w:w="1110" w:type="dxa"/>
            <w:vMerge w:val="continue"/>
            <w:tcBorders>
              <w:left w:val="single" w:color="000000" w:sz="4" w:space="0"/>
              <w:right w:val="single" w:color="000000" w:sz="4" w:space="0"/>
            </w:tcBorders>
            <w:shd w:val="clear" w:color="auto" w:fill="auto"/>
            <w:vAlign w:val="center"/>
          </w:tcPr>
          <w:p w14:paraId="565596C1">
            <w:pPr>
              <w:rPr>
                <w:rFonts w:hint="eastAsia" w:ascii="宋体" w:hAnsi="宋体" w:eastAsia="宋体" w:cs="宋体"/>
                <w:i w:val="0"/>
                <w:iCs w:val="0"/>
                <w:color w:val="000000"/>
                <w:kern w:val="0"/>
                <w:sz w:val="24"/>
                <w:szCs w:val="24"/>
                <w:u w:val="none"/>
                <w:lang w:val="en-US" w:eastAsia="zh-CN" w:bidi="ar"/>
              </w:rPr>
            </w:pPr>
          </w:p>
        </w:tc>
      </w:tr>
      <w:tr w14:paraId="58533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AFF12">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7CCF8">
            <w:pPr>
              <w:keepNext w:val="0"/>
              <w:keepLines w:val="0"/>
              <w:widowControl/>
              <w:suppressLineNumbers w:val="0"/>
              <w:spacing w:line="240" w:lineRule="auto"/>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24口接入层交换机</w:t>
            </w:r>
          </w:p>
        </w:tc>
        <w:tc>
          <w:tcPr>
            <w:tcW w:w="4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D18CF8">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★1、交换容量≥336Gbps，包转发率≥108Mpps（以官网最小值为准，提供截图证明）；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2、端口：10/100/1000Base-T以太网端口≥24个,千兆 SFP端口≥4个；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3、为了提高设备散热的可靠性，支持风扇散热；</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4、支持静态路由、RIP、OSPF、RIPng、OSPFv3；</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5、支持MAC表项≥32K，IPv4 路由表≥4K，IPv6 路由表≥1K；</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6、支持G.8032（ERPS）标准以太环网协议，故障倒换收敛时间小于50ms；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7、支持Telemetry技术,配合网络分析组件通过智能故障识别算法对网络数据进行分析，精准展现网络实时状态；</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65BB0">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8AFE7">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590" w:type="dxa"/>
            <w:tcBorders>
              <w:top w:val="nil"/>
              <w:left w:val="single" w:color="000000" w:sz="4" w:space="0"/>
              <w:bottom w:val="single" w:color="000000" w:sz="4" w:space="0"/>
              <w:right w:val="single" w:color="000000" w:sz="4" w:space="0"/>
            </w:tcBorders>
            <w:shd w:val="clear" w:color="auto" w:fill="auto"/>
            <w:vAlign w:val="center"/>
          </w:tcPr>
          <w:p w14:paraId="05033A81">
            <w:pPr>
              <w:rPr>
                <w:rFonts w:hint="eastAsia" w:ascii="宋体" w:hAnsi="宋体" w:eastAsia="宋体" w:cs="宋体"/>
                <w:i w:val="0"/>
                <w:iCs w:val="0"/>
                <w:color w:val="000000"/>
                <w:kern w:val="0"/>
                <w:sz w:val="24"/>
                <w:szCs w:val="24"/>
                <w:u w:val="none"/>
                <w:lang w:val="en-US" w:eastAsia="zh-CN" w:bidi="ar"/>
              </w:rPr>
            </w:pPr>
          </w:p>
        </w:tc>
        <w:tc>
          <w:tcPr>
            <w:tcW w:w="1280" w:type="dxa"/>
            <w:tcBorders>
              <w:top w:val="nil"/>
              <w:left w:val="single" w:color="000000" w:sz="4" w:space="0"/>
              <w:bottom w:val="single" w:color="000000" w:sz="4" w:space="0"/>
              <w:right w:val="single" w:color="000000" w:sz="4" w:space="0"/>
            </w:tcBorders>
            <w:shd w:val="clear" w:color="auto" w:fill="auto"/>
            <w:vAlign w:val="center"/>
          </w:tcPr>
          <w:p w14:paraId="6B2842B6">
            <w:pPr>
              <w:rPr>
                <w:rFonts w:hint="eastAsia" w:ascii="宋体" w:hAnsi="宋体" w:eastAsia="宋体" w:cs="宋体"/>
                <w:i w:val="0"/>
                <w:iCs w:val="0"/>
                <w:color w:val="000000"/>
                <w:kern w:val="0"/>
                <w:sz w:val="24"/>
                <w:szCs w:val="24"/>
                <w:u w:val="none"/>
                <w:lang w:val="en-US" w:eastAsia="zh-CN" w:bidi="ar"/>
              </w:rPr>
            </w:pPr>
          </w:p>
        </w:tc>
        <w:tc>
          <w:tcPr>
            <w:tcW w:w="1060" w:type="dxa"/>
            <w:tcBorders>
              <w:top w:val="nil"/>
              <w:left w:val="single" w:color="000000" w:sz="4" w:space="0"/>
              <w:bottom w:val="single" w:color="000000" w:sz="4" w:space="0"/>
              <w:right w:val="single" w:color="000000" w:sz="4" w:space="0"/>
            </w:tcBorders>
            <w:shd w:val="clear" w:color="auto" w:fill="auto"/>
            <w:vAlign w:val="center"/>
          </w:tcPr>
          <w:p w14:paraId="32102E3D">
            <w:pPr>
              <w:rPr>
                <w:rFonts w:hint="eastAsia" w:ascii="宋体" w:hAnsi="宋体" w:eastAsia="宋体" w:cs="宋体"/>
                <w:i w:val="0"/>
                <w:iCs w:val="0"/>
                <w:color w:val="000000"/>
                <w:kern w:val="0"/>
                <w:sz w:val="24"/>
                <w:szCs w:val="24"/>
                <w:u w:val="none"/>
                <w:lang w:val="en-US" w:eastAsia="zh-CN" w:bidi="ar"/>
              </w:rPr>
            </w:pPr>
          </w:p>
        </w:tc>
        <w:tc>
          <w:tcPr>
            <w:tcW w:w="1110" w:type="dxa"/>
            <w:vMerge w:val="continue"/>
            <w:tcBorders>
              <w:left w:val="single" w:color="000000" w:sz="4" w:space="0"/>
              <w:right w:val="single" w:color="000000" w:sz="4" w:space="0"/>
            </w:tcBorders>
            <w:shd w:val="clear" w:color="auto" w:fill="auto"/>
            <w:vAlign w:val="center"/>
          </w:tcPr>
          <w:p w14:paraId="6A0D1E2C">
            <w:pPr>
              <w:rPr>
                <w:rFonts w:hint="eastAsia" w:ascii="宋体" w:hAnsi="宋体" w:eastAsia="宋体" w:cs="宋体"/>
                <w:i w:val="0"/>
                <w:iCs w:val="0"/>
                <w:color w:val="000000"/>
                <w:kern w:val="0"/>
                <w:sz w:val="24"/>
                <w:szCs w:val="24"/>
                <w:u w:val="none"/>
                <w:lang w:val="en-US" w:eastAsia="zh-CN" w:bidi="ar"/>
              </w:rPr>
            </w:pPr>
          </w:p>
        </w:tc>
      </w:tr>
      <w:tr w14:paraId="41575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42FAC">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24A6F">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48口接入交换机（POE)</w:t>
            </w:r>
          </w:p>
        </w:tc>
        <w:tc>
          <w:tcPr>
            <w:tcW w:w="4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EA5A0B">
            <w:pPr>
              <w:keepNext w:val="0"/>
              <w:keepLines w:val="0"/>
              <w:widowControl/>
              <w:suppressLineNumbers w:val="0"/>
              <w:spacing w:line="240" w:lineRule="auto"/>
              <w:ind w:firstLine="440" w:firstLineChars="20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★1、交换容量≥430Gbps，包转发率≥140Mpps以官网最小值为准，提供截图证明）；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2、端口：整机提供≥48个千兆以太网电口+4个千兆以太网光口；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3、支持IPv4/IPv6静态路由，支持RIP/RIPng，OSPF；</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4、实现ERPS功能，能够快速阻断环路，链路收敛时间≤50ms；支持STP、RSTP、MSTP，环网故障恢复时间不超过50ms；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5、内置智能管理平台，实现整网拓扑可视，实现在网络设备上对整网交换机的统一管理；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6、最大堆叠台数≥8台，支持通过标准以太端口进行堆叠（万兆或千兆均支持）；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7、端口防雷≥10KV；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8、支持最新SDN（软件定义网络）技术；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9、支持纵向虚拟化技术；</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0A660">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F7901">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590" w:type="dxa"/>
            <w:tcBorders>
              <w:top w:val="nil"/>
              <w:left w:val="single" w:color="000000" w:sz="4" w:space="0"/>
              <w:bottom w:val="single" w:color="000000" w:sz="4" w:space="0"/>
              <w:right w:val="single" w:color="000000" w:sz="4" w:space="0"/>
            </w:tcBorders>
            <w:shd w:val="clear" w:color="auto" w:fill="auto"/>
            <w:vAlign w:val="center"/>
          </w:tcPr>
          <w:p w14:paraId="3A5D8771">
            <w:pPr>
              <w:rPr>
                <w:rFonts w:hint="eastAsia" w:ascii="宋体" w:hAnsi="宋体" w:eastAsia="宋体" w:cs="宋体"/>
                <w:i w:val="0"/>
                <w:iCs w:val="0"/>
                <w:color w:val="000000"/>
                <w:kern w:val="0"/>
                <w:sz w:val="24"/>
                <w:szCs w:val="24"/>
                <w:u w:val="none"/>
                <w:lang w:val="en-US" w:eastAsia="zh-CN" w:bidi="ar"/>
              </w:rPr>
            </w:pPr>
          </w:p>
        </w:tc>
        <w:tc>
          <w:tcPr>
            <w:tcW w:w="1280" w:type="dxa"/>
            <w:tcBorders>
              <w:top w:val="nil"/>
              <w:left w:val="single" w:color="000000" w:sz="4" w:space="0"/>
              <w:bottom w:val="single" w:color="000000" w:sz="4" w:space="0"/>
              <w:right w:val="single" w:color="000000" w:sz="4" w:space="0"/>
            </w:tcBorders>
            <w:shd w:val="clear" w:color="auto" w:fill="auto"/>
            <w:vAlign w:val="center"/>
          </w:tcPr>
          <w:p w14:paraId="7CEFBD6D">
            <w:pPr>
              <w:rPr>
                <w:rFonts w:hint="eastAsia" w:ascii="宋体" w:hAnsi="宋体" w:eastAsia="宋体" w:cs="宋体"/>
                <w:i w:val="0"/>
                <w:iCs w:val="0"/>
                <w:color w:val="000000"/>
                <w:kern w:val="0"/>
                <w:sz w:val="24"/>
                <w:szCs w:val="24"/>
                <w:u w:val="none"/>
                <w:lang w:val="en-US" w:eastAsia="zh-CN" w:bidi="ar"/>
              </w:rPr>
            </w:pPr>
          </w:p>
        </w:tc>
        <w:tc>
          <w:tcPr>
            <w:tcW w:w="1060" w:type="dxa"/>
            <w:tcBorders>
              <w:top w:val="nil"/>
              <w:left w:val="single" w:color="000000" w:sz="4" w:space="0"/>
              <w:bottom w:val="single" w:color="000000" w:sz="4" w:space="0"/>
              <w:right w:val="single" w:color="000000" w:sz="4" w:space="0"/>
            </w:tcBorders>
            <w:shd w:val="clear" w:color="auto" w:fill="auto"/>
            <w:vAlign w:val="center"/>
          </w:tcPr>
          <w:p w14:paraId="09F3E2AA">
            <w:pPr>
              <w:rPr>
                <w:rFonts w:hint="eastAsia" w:ascii="宋体" w:hAnsi="宋体" w:eastAsia="宋体" w:cs="宋体"/>
                <w:i w:val="0"/>
                <w:iCs w:val="0"/>
                <w:color w:val="000000"/>
                <w:kern w:val="0"/>
                <w:sz w:val="24"/>
                <w:szCs w:val="24"/>
                <w:u w:val="none"/>
                <w:lang w:val="en-US" w:eastAsia="zh-CN" w:bidi="ar"/>
              </w:rPr>
            </w:pPr>
          </w:p>
        </w:tc>
        <w:tc>
          <w:tcPr>
            <w:tcW w:w="1110" w:type="dxa"/>
            <w:vMerge w:val="continue"/>
            <w:tcBorders>
              <w:left w:val="single" w:color="000000" w:sz="4" w:space="0"/>
              <w:right w:val="single" w:color="000000" w:sz="4" w:space="0"/>
            </w:tcBorders>
            <w:shd w:val="clear" w:color="auto" w:fill="auto"/>
            <w:vAlign w:val="center"/>
          </w:tcPr>
          <w:p w14:paraId="66CCDEB3">
            <w:pPr>
              <w:rPr>
                <w:rFonts w:hint="eastAsia" w:ascii="宋体" w:hAnsi="宋体" w:eastAsia="宋体" w:cs="宋体"/>
                <w:i w:val="0"/>
                <w:iCs w:val="0"/>
                <w:color w:val="000000"/>
                <w:kern w:val="0"/>
                <w:sz w:val="24"/>
                <w:szCs w:val="24"/>
                <w:u w:val="none"/>
                <w:lang w:val="en-US" w:eastAsia="zh-CN" w:bidi="ar"/>
              </w:rPr>
            </w:pPr>
          </w:p>
        </w:tc>
      </w:tr>
      <w:tr w14:paraId="586CF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3A976">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764B2">
            <w:pPr>
              <w:keepNext w:val="0"/>
              <w:keepLines w:val="0"/>
              <w:widowControl/>
              <w:suppressLineNumbers w:val="0"/>
              <w:spacing w:line="240" w:lineRule="auto"/>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24口接入层交换机(POE)</w:t>
            </w:r>
          </w:p>
        </w:tc>
        <w:tc>
          <w:tcPr>
            <w:tcW w:w="4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7D754D">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★1、交换容量336Mpps/3Tbps，包转发率51/126Mpps（以官网最小值为准，提供截图证明）；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2、端口：整机提供≥24个千兆以太网电口+4个千兆以太网光口；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3、MAC地址表≥16K，路由表容量≥512，ACL容量≥1K，最大VLAN数≥4K；</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4、支持IPv4/IPv6静态路由，支持RIP/RIPng，OSPF；</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5、实现ERPS功能，能够快速阻断环路，链路收敛时间≤50ms；支持STP、RSTP、MSTP，环网故障恢复时间不超过50ms；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6、内置智能管理平台，实现整网拓扑可视，实现在网络设备上对整网交换机的统一管理，无需再额外配置网管平；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7、最大堆叠台数≥9台，支持通过标准以太端口进行堆叠（万兆或千兆均支持）；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8、端口防雷≥10KV；</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263C0">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1A2EE">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w:t>
            </w:r>
          </w:p>
        </w:tc>
        <w:tc>
          <w:tcPr>
            <w:tcW w:w="1590" w:type="dxa"/>
            <w:tcBorders>
              <w:top w:val="nil"/>
              <w:left w:val="single" w:color="000000" w:sz="4" w:space="0"/>
              <w:bottom w:val="single" w:color="000000" w:sz="4" w:space="0"/>
              <w:right w:val="single" w:color="000000" w:sz="4" w:space="0"/>
            </w:tcBorders>
            <w:shd w:val="clear" w:color="auto" w:fill="auto"/>
            <w:vAlign w:val="center"/>
          </w:tcPr>
          <w:p w14:paraId="37930D79">
            <w:pPr>
              <w:rPr>
                <w:rFonts w:hint="eastAsia" w:ascii="宋体" w:hAnsi="宋体" w:eastAsia="宋体" w:cs="宋体"/>
                <w:i w:val="0"/>
                <w:iCs w:val="0"/>
                <w:color w:val="000000"/>
                <w:kern w:val="0"/>
                <w:sz w:val="24"/>
                <w:szCs w:val="24"/>
                <w:u w:val="none"/>
                <w:lang w:val="en-US" w:eastAsia="zh-CN" w:bidi="ar"/>
              </w:rPr>
            </w:pPr>
          </w:p>
        </w:tc>
        <w:tc>
          <w:tcPr>
            <w:tcW w:w="1280" w:type="dxa"/>
            <w:tcBorders>
              <w:top w:val="nil"/>
              <w:left w:val="single" w:color="000000" w:sz="4" w:space="0"/>
              <w:bottom w:val="single" w:color="000000" w:sz="4" w:space="0"/>
              <w:right w:val="single" w:color="000000" w:sz="4" w:space="0"/>
            </w:tcBorders>
            <w:shd w:val="clear" w:color="auto" w:fill="auto"/>
            <w:vAlign w:val="center"/>
          </w:tcPr>
          <w:p w14:paraId="620F6EC9">
            <w:pPr>
              <w:rPr>
                <w:rFonts w:hint="eastAsia" w:ascii="宋体" w:hAnsi="宋体" w:eastAsia="宋体" w:cs="宋体"/>
                <w:i w:val="0"/>
                <w:iCs w:val="0"/>
                <w:color w:val="000000"/>
                <w:kern w:val="0"/>
                <w:sz w:val="24"/>
                <w:szCs w:val="24"/>
                <w:u w:val="none"/>
                <w:lang w:val="en-US" w:eastAsia="zh-CN" w:bidi="ar"/>
              </w:rPr>
            </w:pPr>
          </w:p>
        </w:tc>
        <w:tc>
          <w:tcPr>
            <w:tcW w:w="1060" w:type="dxa"/>
            <w:tcBorders>
              <w:top w:val="nil"/>
              <w:left w:val="single" w:color="000000" w:sz="4" w:space="0"/>
              <w:bottom w:val="single" w:color="000000" w:sz="4" w:space="0"/>
              <w:right w:val="single" w:color="000000" w:sz="4" w:space="0"/>
            </w:tcBorders>
            <w:shd w:val="clear" w:color="auto" w:fill="auto"/>
            <w:vAlign w:val="center"/>
          </w:tcPr>
          <w:p w14:paraId="3671EF9E">
            <w:pPr>
              <w:rPr>
                <w:rFonts w:hint="eastAsia" w:ascii="宋体" w:hAnsi="宋体" w:eastAsia="宋体" w:cs="宋体"/>
                <w:i w:val="0"/>
                <w:iCs w:val="0"/>
                <w:color w:val="000000"/>
                <w:kern w:val="0"/>
                <w:sz w:val="24"/>
                <w:szCs w:val="24"/>
                <w:u w:val="none"/>
                <w:lang w:val="en-US" w:eastAsia="zh-CN" w:bidi="ar"/>
              </w:rPr>
            </w:pPr>
          </w:p>
        </w:tc>
        <w:tc>
          <w:tcPr>
            <w:tcW w:w="1110" w:type="dxa"/>
            <w:vMerge w:val="continue"/>
            <w:tcBorders>
              <w:left w:val="single" w:color="000000" w:sz="4" w:space="0"/>
              <w:right w:val="single" w:color="000000" w:sz="4" w:space="0"/>
            </w:tcBorders>
            <w:shd w:val="clear" w:color="auto" w:fill="auto"/>
            <w:vAlign w:val="center"/>
          </w:tcPr>
          <w:p w14:paraId="432168C1">
            <w:pPr>
              <w:rPr>
                <w:rFonts w:hint="eastAsia" w:ascii="宋体" w:hAnsi="宋体" w:eastAsia="宋体" w:cs="宋体"/>
                <w:i w:val="0"/>
                <w:iCs w:val="0"/>
                <w:color w:val="000000"/>
                <w:kern w:val="0"/>
                <w:sz w:val="24"/>
                <w:szCs w:val="24"/>
                <w:u w:val="none"/>
                <w:lang w:val="en-US" w:eastAsia="zh-CN" w:bidi="ar"/>
              </w:rPr>
            </w:pPr>
          </w:p>
        </w:tc>
      </w:tr>
      <w:tr w14:paraId="6DA79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513E5">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13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1BD53">
            <w:pPr>
              <w:keepNext w:val="0"/>
              <w:keepLines w:val="0"/>
              <w:widowControl/>
              <w:suppressLineNumbers w:val="0"/>
              <w:spacing w:line="240" w:lineRule="auto"/>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8口千兆交换机（POE）</w:t>
            </w:r>
          </w:p>
        </w:tc>
        <w:tc>
          <w:tcPr>
            <w:tcW w:w="49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14A0B5">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★1、交换容量≥20Gbps，包转发率≥16Mpps以官网最小值为准，提供截图证明）；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2、端口：整机提供≥8个千兆以太网电口（支持POE+供电，单端口最大功率≥30W），提供≥2个千兆以太网光口，整机POE输出功率≥120W；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2、MAC地址表≥16K，路由表容量≥1K，ARP表容量≥1K，ACL容量≥1K，最大VLAN数≥4K，支持RIP、OSPF。</w:t>
            </w:r>
          </w:p>
        </w:tc>
        <w:tc>
          <w:tcPr>
            <w:tcW w:w="8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B03EB">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55BC9">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590" w:type="dxa"/>
            <w:tcBorders>
              <w:top w:val="nil"/>
              <w:left w:val="single" w:color="000000" w:sz="4" w:space="0"/>
              <w:bottom w:val="single" w:color="000000" w:sz="4" w:space="0"/>
              <w:right w:val="single" w:color="000000" w:sz="4" w:space="0"/>
            </w:tcBorders>
            <w:shd w:val="clear" w:color="auto" w:fill="auto"/>
            <w:vAlign w:val="center"/>
          </w:tcPr>
          <w:p w14:paraId="6E9C57A0">
            <w:pPr>
              <w:rPr>
                <w:rFonts w:hint="eastAsia" w:ascii="宋体" w:hAnsi="宋体" w:eastAsia="宋体" w:cs="宋体"/>
                <w:i w:val="0"/>
                <w:iCs w:val="0"/>
                <w:color w:val="000000"/>
                <w:kern w:val="0"/>
                <w:sz w:val="24"/>
                <w:szCs w:val="24"/>
                <w:u w:val="none"/>
                <w:lang w:val="en-US" w:eastAsia="zh-CN" w:bidi="ar"/>
              </w:rPr>
            </w:pPr>
          </w:p>
        </w:tc>
        <w:tc>
          <w:tcPr>
            <w:tcW w:w="1280" w:type="dxa"/>
            <w:tcBorders>
              <w:top w:val="nil"/>
              <w:left w:val="single" w:color="000000" w:sz="4" w:space="0"/>
              <w:bottom w:val="single" w:color="000000" w:sz="4" w:space="0"/>
              <w:right w:val="single" w:color="000000" w:sz="4" w:space="0"/>
            </w:tcBorders>
            <w:shd w:val="clear" w:color="auto" w:fill="auto"/>
            <w:vAlign w:val="center"/>
          </w:tcPr>
          <w:p w14:paraId="179F6BED">
            <w:pPr>
              <w:rPr>
                <w:rFonts w:hint="eastAsia" w:ascii="宋体" w:hAnsi="宋体" w:eastAsia="宋体" w:cs="宋体"/>
                <w:i w:val="0"/>
                <w:iCs w:val="0"/>
                <w:color w:val="000000"/>
                <w:kern w:val="0"/>
                <w:sz w:val="24"/>
                <w:szCs w:val="24"/>
                <w:u w:val="none"/>
                <w:lang w:val="en-US" w:eastAsia="zh-CN" w:bidi="ar"/>
              </w:rPr>
            </w:pPr>
          </w:p>
        </w:tc>
        <w:tc>
          <w:tcPr>
            <w:tcW w:w="1060" w:type="dxa"/>
            <w:tcBorders>
              <w:top w:val="nil"/>
              <w:left w:val="single" w:color="000000" w:sz="4" w:space="0"/>
              <w:bottom w:val="single" w:color="000000" w:sz="4" w:space="0"/>
              <w:right w:val="single" w:color="000000" w:sz="4" w:space="0"/>
            </w:tcBorders>
            <w:shd w:val="clear" w:color="auto" w:fill="auto"/>
            <w:vAlign w:val="center"/>
          </w:tcPr>
          <w:p w14:paraId="2762D7C9">
            <w:pPr>
              <w:rPr>
                <w:rFonts w:hint="eastAsia" w:ascii="宋体" w:hAnsi="宋体" w:eastAsia="宋体" w:cs="宋体"/>
                <w:i w:val="0"/>
                <w:iCs w:val="0"/>
                <w:color w:val="000000"/>
                <w:kern w:val="0"/>
                <w:sz w:val="24"/>
                <w:szCs w:val="24"/>
                <w:u w:val="none"/>
                <w:lang w:val="en-US" w:eastAsia="zh-CN" w:bidi="ar"/>
              </w:rPr>
            </w:pPr>
          </w:p>
        </w:tc>
        <w:tc>
          <w:tcPr>
            <w:tcW w:w="1110" w:type="dxa"/>
            <w:vMerge w:val="continue"/>
            <w:tcBorders>
              <w:left w:val="single" w:color="000000" w:sz="4" w:space="0"/>
              <w:right w:val="single" w:color="000000" w:sz="4" w:space="0"/>
            </w:tcBorders>
            <w:shd w:val="clear" w:color="auto" w:fill="auto"/>
            <w:vAlign w:val="center"/>
          </w:tcPr>
          <w:p w14:paraId="2E80D4FB">
            <w:pPr>
              <w:rPr>
                <w:rFonts w:hint="eastAsia" w:ascii="宋体" w:hAnsi="宋体" w:eastAsia="宋体" w:cs="宋体"/>
                <w:i w:val="0"/>
                <w:iCs w:val="0"/>
                <w:color w:val="000000"/>
                <w:kern w:val="0"/>
                <w:sz w:val="24"/>
                <w:szCs w:val="24"/>
                <w:u w:val="none"/>
                <w:lang w:val="en-US" w:eastAsia="zh-CN" w:bidi="ar"/>
              </w:rPr>
            </w:pPr>
          </w:p>
        </w:tc>
      </w:tr>
      <w:tr w14:paraId="6105A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9C529">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797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D1075B1">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single"/>
                <w:lang w:val="en-US" w:eastAsia="zh-CN" w:bidi="ar"/>
              </w:rPr>
              <w:t xml:space="preserve">           元</w:t>
            </w:r>
          </w:p>
        </w:tc>
        <w:tc>
          <w:tcPr>
            <w:tcW w:w="1590" w:type="dxa"/>
            <w:tcBorders>
              <w:top w:val="nil"/>
              <w:left w:val="single" w:color="000000" w:sz="4" w:space="0"/>
              <w:bottom w:val="single" w:color="000000" w:sz="4" w:space="0"/>
              <w:right w:val="single" w:color="000000" w:sz="4" w:space="0"/>
            </w:tcBorders>
            <w:shd w:val="clear" w:color="auto" w:fill="auto"/>
            <w:vAlign w:val="center"/>
          </w:tcPr>
          <w:p w14:paraId="4DA91CF2">
            <w:pPr>
              <w:rPr>
                <w:rFonts w:hint="eastAsia" w:ascii="宋体" w:hAnsi="宋体" w:eastAsia="宋体" w:cs="宋体"/>
                <w:i w:val="0"/>
                <w:iCs w:val="0"/>
                <w:color w:val="000000"/>
                <w:kern w:val="0"/>
                <w:sz w:val="24"/>
                <w:szCs w:val="24"/>
                <w:u w:val="none"/>
                <w:lang w:val="en-US" w:eastAsia="zh-CN" w:bidi="ar"/>
              </w:rPr>
            </w:pPr>
          </w:p>
        </w:tc>
        <w:tc>
          <w:tcPr>
            <w:tcW w:w="1280" w:type="dxa"/>
            <w:tcBorders>
              <w:top w:val="nil"/>
              <w:left w:val="single" w:color="000000" w:sz="4" w:space="0"/>
              <w:bottom w:val="single" w:color="000000" w:sz="4" w:space="0"/>
              <w:right w:val="single" w:color="000000" w:sz="4" w:space="0"/>
            </w:tcBorders>
            <w:shd w:val="clear" w:color="auto" w:fill="auto"/>
            <w:vAlign w:val="center"/>
          </w:tcPr>
          <w:p w14:paraId="2A09736D">
            <w:pPr>
              <w:rPr>
                <w:rFonts w:hint="eastAsia" w:ascii="宋体" w:hAnsi="宋体" w:eastAsia="宋体" w:cs="宋体"/>
                <w:i w:val="0"/>
                <w:iCs w:val="0"/>
                <w:color w:val="000000"/>
                <w:kern w:val="0"/>
                <w:sz w:val="24"/>
                <w:szCs w:val="24"/>
                <w:u w:val="none"/>
                <w:lang w:val="en-US" w:eastAsia="zh-CN" w:bidi="ar"/>
              </w:rPr>
            </w:pPr>
          </w:p>
        </w:tc>
        <w:tc>
          <w:tcPr>
            <w:tcW w:w="1060" w:type="dxa"/>
            <w:tcBorders>
              <w:top w:val="nil"/>
              <w:left w:val="single" w:color="000000" w:sz="4" w:space="0"/>
              <w:bottom w:val="single" w:color="000000" w:sz="4" w:space="0"/>
              <w:right w:val="single" w:color="000000" w:sz="4" w:space="0"/>
            </w:tcBorders>
            <w:shd w:val="clear" w:color="auto" w:fill="auto"/>
            <w:vAlign w:val="center"/>
          </w:tcPr>
          <w:p w14:paraId="42E8DD32">
            <w:pPr>
              <w:rPr>
                <w:rFonts w:hint="eastAsia" w:ascii="宋体" w:hAnsi="宋体" w:eastAsia="宋体" w:cs="宋体"/>
                <w:i w:val="0"/>
                <w:iCs w:val="0"/>
                <w:color w:val="000000"/>
                <w:kern w:val="0"/>
                <w:sz w:val="24"/>
                <w:szCs w:val="24"/>
                <w:u w:val="none"/>
                <w:lang w:val="en-US" w:eastAsia="zh-CN" w:bidi="ar"/>
              </w:rPr>
            </w:pPr>
          </w:p>
        </w:tc>
        <w:tc>
          <w:tcPr>
            <w:tcW w:w="1110" w:type="dxa"/>
            <w:vMerge w:val="continue"/>
            <w:tcBorders>
              <w:left w:val="single" w:color="000000" w:sz="4" w:space="0"/>
              <w:right w:val="single" w:color="000000" w:sz="4" w:space="0"/>
            </w:tcBorders>
            <w:shd w:val="clear" w:color="auto" w:fill="auto"/>
            <w:vAlign w:val="center"/>
          </w:tcPr>
          <w:p w14:paraId="0688F47D">
            <w:pPr>
              <w:rPr>
                <w:rFonts w:hint="eastAsia" w:ascii="宋体" w:hAnsi="宋体" w:eastAsia="宋体" w:cs="宋体"/>
                <w:i w:val="0"/>
                <w:iCs w:val="0"/>
                <w:color w:val="000000"/>
                <w:kern w:val="0"/>
                <w:sz w:val="24"/>
                <w:szCs w:val="24"/>
                <w:u w:val="none"/>
                <w:lang w:val="en-US" w:eastAsia="zh-CN" w:bidi="ar"/>
              </w:rPr>
            </w:pPr>
          </w:p>
        </w:tc>
      </w:tr>
      <w:tr w14:paraId="6C855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3954"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52C1FDC">
            <w:pPr>
              <w:keepNext w:val="0"/>
              <w:keepLines w:val="0"/>
              <w:widowControl/>
              <w:suppressLineNumbers w:val="0"/>
              <w:ind w:left="0" w:leftChars="0" w:firstLine="480" w:firstLineChars="20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以上报价含增值税专用发票、运费以及相关服务费用。</w:t>
            </w:r>
            <w:bookmarkStart w:id="0" w:name="_GoBack"/>
            <w:bookmarkEnd w:id="0"/>
          </w:p>
        </w:tc>
      </w:tr>
      <w:tr w14:paraId="0400F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2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AB0D1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是否接受保证金（控制价的2%）</w:t>
            </w:r>
          </w:p>
        </w:tc>
        <w:tc>
          <w:tcPr>
            <w:tcW w:w="4350" w:type="dxa"/>
            <w:tcBorders>
              <w:top w:val="single" w:color="000000" w:sz="4" w:space="0"/>
              <w:left w:val="nil"/>
              <w:bottom w:val="single" w:color="000000" w:sz="4" w:space="0"/>
              <w:right w:val="single" w:color="000000" w:sz="4" w:space="0"/>
            </w:tcBorders>
            <w:shd w:val="clear" w:color="auto" w:fill="auto"/>
            <w:vAlign w:val="center"/>
          </w:tcPr>
          <w:p w14:paraId="501E5AB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23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071D5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履约保证金</w:t>
            </w:r>
            <w:r>
              <w:rPr>
                <w:rFonts w:hint="eastAsia" w:ascii="黑体" w:hAnsi="宋体" w:eastAsia="黑体" w:cs="黑体"/>
                <w:i w:val="0"/>
                <w:iCs w:val="0"/>
                <w:color w:val="000000"/>
                <w:kern w:val="0"/>
                <w:sz w:val="24"/>
                <w:szCs w:val="24"/>
                <w:u w:val="none"/>
                <w:lang w:val="en-US" w:eastAsia="zh-CN" w:bidi="ar"/>
              </w:rPr>
              <w:br w:type="textWrapping"/>
            </w:r>
            <w:r>
              <w:rPr>
                <w:rFonts w:hint="eastAsia" w:ascii="黑体" w:hAnsi="宋体" w:eastAsia="黑体" w:cs="黑体"/>
                <w:i w:val="0"/>
                <w:iCs w:val="0"/>
                <w:color w:val="000000"/>
                <w:kern w:val="0"/>
                <w:sz w:val="24"/>
                <w:szCs w:val="24"/>
                <w:u w:val="none"/>
                <w:lang w:val="en-US" w:eastAsia="zh-CN" w:bidi="ar"/>
              </w:rPr>
              <w:t>（成交金额的10%）</w:t>
            </w:r>
          </w:p>
        </w:tc>
        <w:tc>
          <w:tcPr>
            <w:tcW w:w="5040" w:type="dxa"/>
            <w:gridSpan w:val="4"/>
            <w:tcBorders>
              <w:top w:val="single" w:color="000000" w:sz="4" w:space="0"/>
              <w:left w:val="nil"/>
              <w:bottom w:val="single" w:color="000000" w:sz="4" w:space="0"/>
              <w:right w:val="single" w:color="000000" w:sz="4" w:space="0"/>
            </w:tcBorders>
            <w:shd w:val="clear" w:color="auto" w:fill="auto"/>
            <w:vAlign w:val="center"/>
          </w:tcPr>
          <w:p w14:paraId="79CA95E9">
            <w:pPr>
              <w:jc w:val="center"/>
              <w:rPr>
                <w:rFonts w:hint="eastAsia" w:ascii="黑体" w:hAnsi="宋体" w:eastAsia="黑体" w:cs="黑体"/>
                <w:i w:val="0"/>
                <w:iCs w:val="0"/>
                <w:color w:val="000000"/>
                <w:sz w:val="24"/>
                <w:szCs w:val="24"/>
                <w:u w:val="none"/>
              </w:rPr>
            </w:pPr>
          </w:p>
        </w:tc>
      </w:tr>
      <w:tr w14:paraId="76A1D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2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51EC8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质保期</w:t>
            </w:r>
          </w:p>
        </w:tc>
        <w:tc>
          <w:tcPr>
            <w:tcW w:w="4350" w:type="dxa"/>
            <w:tcBorders>
              <w:top w:val="single" w:color="000000" w:sz="4" w:space="0"/>
              <w:left w:val="nil"/>
              <w:bottom w:val="single" w:color="000000" w:sz="4" w:space="0"/>
              <w:right w:val="single" w:color="000000" w:sz="4" w:space="0"/>
            </w:tcBorders>
            <w:shd w:val="clear" w:color="auto" w:fill="auto"/>
            <w:vAlign w:val="center"/>
          </w:tcPr>
          <w:p w14:paraId="3D2A5643">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2年</w:t>
            </w:r>
          </w:p>
        </w:tc>
        <w:tc>
          <w:tcPr>
            <w:tcW w:w="23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C02694">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税点</w:t>
            </w:r>
          </w:p>
        </w:tc>
        <w:tc>
          <w:tcPr>
            <w:tcW w:w="5040" w:type="dxa"/>
            <w:gridSpan w:val="4"/>
            <w:tcBorders>
              <w:top w:val="single" w:color="000000" w:sz="4" w:space="0"/>
              <w:left w:val="nil"/>
              <w:bottom w:val="single" w:color="000000" w:sz="4" w:space="0"/>
              <w:right w:val="single" w:color="000000" w:sz="4" w:space="0"/>
            </w:tcBorders>
            <w:shd w:val="clear" w:color="auto" w:fill="auto"/>
            <w:vAlign w:val="center"/>
          </w:tcPr>
          <w:p w14:paraId="25100334">
            <w:pPr>
              <w:jc w:val="center"/>
              <w:rPr>
                <w:rFonts w:hint="eastAsia" w:ascii="黑体" w:hAnsi="宋体" w:eastAsia="黑体" w:cs="黑体"/>
                <w:i w:val="0"/>
                <w:iCs w:val="0"/>
                <w:color w:val="000000"/>
                <w:sz w:val="24"/>
                <w:szCs w:val="24"/>
                <w:u w:val="none"/>
              </w:rPr>
            </w:pPr>
          </w:p>
        </w:tc>
      </w:tr>
      <w:tr w14:paraId="5B8C0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22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462C1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4350" w:type="dxa"/>
            <w:tcBorders>
              <w:top w:val="single" w:color="000000" w:sz="4" w:space="0"/>
              <w:left w:val="nil"/>
              <w:bottom w:val="single" w:color="000000" w:sz="4" w:space="0"/>
              <w:right w:val="single" w:color="000000" w:sz="4" w:space="0"/>
            </w:tcBorders>
            <w:shd w:val="clear" w:color="auto" w:fill="auto"/>
            <w:vAlign w:val="center"/>
          </w:tcPr>
          <w:p w14:paraId="1B70B57B">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15天</w:t>
            </w:r>
          </w:p>
        </w:tc>
        <w:tc>
          <w:tcPr>
            <w:tcW w:w="23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18579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付款方式</w:t>
            </w:r>
          </w:p>
        </w:tc>
        <w:tc>
          <w:tcPr>
            <w:tcW w:w="5040" w:type="dxa"/>
            <w:gridSpan w:val="4"/>
            <w:tcBorders>
              <w:top w:val="single" w:color="000000" w:sz="4" w:space="0"/>
              <w:left w:val="nil"/>
              <w:bottom w:val="single" w:color="000000" w:sz="4" w:space="0"/>
              <w:right w:val="single" w:color="000000" w:sz="4" w:space="0"/>
            </w:tcBorders>
            <w:shd w:val="clear" w:color="auto" w:fill="auto"/>
            <w:vAlign w:val="center"/>
          </w:tcPr>
          <w:p w14:paraId="5D4BD757">
            <w:pPr>
              <w:ind w:left="0" w:leftChars="0" w:firstLine="480" w:firstLineChars="200"/>
              <w:jc w:val="left"/>
              <w:rPr>
                <w:rFonts w:hint="default" w:ascii="黑体" w:hAnsi="宋体" w:eastAsia="黑体" w:cs="黑体"/>
                <w:i w:val="0"/>
                <w:iCs w:val="0"/>
                <w:color w:val="FF0000"/>
                <w:sz w:val="24"/>
                <w:szCs w:val="24"/>
                <w:u w:val="none"/>
                <w:lang w:val="en-US" w:eastAsia="zh-CN"/>
              </w:rPr>
            </w:pPr>
            <w:r>
              <w:rPr>
                <w:rFonts w:hint="eastAsia" w:ascii="黑体" w:hAnsi="宋体" w:eastAsia="黑体" w:cs="黑体"/>
                <w:i w:val="0"/>
                <w:iCs w:val="0"/>
                <w:color w:val="FF0000"/>
                <w:sz w:val="24"/>
                <w:szCs w:val="24"/>
                <w:u w:val="none"/>
              </w:rPr>
              <w:t>合同签订后</w:t>
            </w:r>
            <w:r>
              <w:rPr>
                <w:rFonts w:hint="eastAsia" w:ascii="黑体" w:hAnsi="宋体" w:eastAsia="黑体" w:cs="黑体"/>
                <w:i w:val="0"/>
                <w:iCs w:val="0"/>
                <w:color w:val="FF0000"/>
                <w:sz w:val="24"/>
                <w:szCs w:val="24"/>
                <w:u w:val="none"/>
                <w:lang w:val="en-US" w:eastAsia="zh-CN"/>
              </w:rPr>
              <w:t>预付合同价的30%，货到安装完成后3个月内付清尾款。</w:t>
            </w:r>
          </w:p>
        </w:tc>
      </w:tr>
    </w:tbl>
    <w:p w14:paraId="3FFE4FC2">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1、付款条件:合同签订后预付合同价的30%，货到安装完成后3个月内付清尾款。注：付款时供应商须提供正规发票（因发票问题而导致无法正常付款的，责任由供应商自己承担）。</w:t>
      </w:r>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3A8653B5"/>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1413809"/>
    <w:rsid w:val="020D7BB0"/>
    <w:rsid w:val="021A3568"/>
    <w:rsid w:val="02264514"/>
    <w:rsid w:val="02635986"/>
    <w:rsid w:val="02BD280C"/>
    <w:rsid w:val="02BD7BE0"/>
    <w:rsid w:val="03626CD0"/>
    <w:rsid w:val="03BB36BB"/>
    <w:rsid w:val="04741F2A"/>
    <w:rsid w:val="058E7D29"/>
    <w:rsid w:val="05BC2F07"/>
    <w:rsid w:val="06E65ABA"/>
    <w:rsid w:val="07CC21FA"/>
    <w:rsid w:val="08193505"/>
    <w:rsid w:val="082F30B8"/>
    <w:rsid w:val="0886108C"/>
    <w:rsid w:val="09DB488A"/>
    <w:rsid w:val="09E659E5"/>
    <w:rsid w:val="09FE7C7D"/>
    <w:rsid w:val="0A443009"/>
    <w:rsid w:val="0BC2638F"/>
    <w:rsid w:val="0BDC6B78"/>
    <w:rsid w:val="0BED7182"/>
    <w:rsid w:val="0C882A07"/>
    <w:rsid w:val="0CD142BE"/>
    <w:rsid w:val="0D681C76"/>
    <w:rsid w:val="0D78696A"/>
    <w:rsid w:val="0DBF30C4"/>
    <w:rsid w:val="0DD96789"/>
    <w:rsid w:val="0F0F7410"/>
    <w:rsid w:val="0FAD1102"/>
    <w:rsid w:val="0FBF0E36"/>
    <w:rsid w:val="100159F1"/>
    <w:rsid w:val="10275305"/>
    <w:rsid w:val="10941E2C"/>
    <w:rsid w:val="115C3F6A"/>
    <w:rsid w:val="133B07D3"/>
    <w:rsid w:val="138B678C"/>
    <w:rsid w:val="13A43BC7"/>
    <w:rsid w:val="144B0B25"/>
    <w:rsid w:val="14F94AB5"/>
    <w:rsid w:val="157C124F"/>
    <w:rsid w:val="15B405D8"/>
    <w:rsid w:val="16B37629"/>
    <w:rsid w:val="173B2189"/>
    <w:rsid w:val="17CE6EF3"/>
    <w:rsid w:val="185D2018"/>
    <w:rsid w:val="186056B3"/>
    <w:rsid w:val="1870435E"/>
    <w:rsid w:val="18B65219"/>
    <w:rsid w:val="193251CA"/>
    <w:rsid w:val="1959078F"/>
    <w:rsid w:val="1A48720E"/>
    <w:rsid w:val="1B2A7AAB"/>
    <w:rsid w:val="1B811C42"/>
    <w:rsid w:val="1B96686D"/>
    <w:rsid w:val="1C1414B5"/>
    <w:rsid w:val="1C44694B"/>
    <w:rsid w:val="1CB642A6"/>
    <w:rsid w:val="1CBE542C"/>
    <w:rsid w:val="1E434544"/>
    <w:rsid w:val="1F444EB4"/>
    <w:rsid w:val="1F741D8C"/>
    <w:rsid w:val="1FC0011B"/>
    <w:rsid w:val="1FF000D2"/>
    <w:rsid w:val="1FF040AD"/>
    <w:rsid w:val="1FFF18D0"/>
    <w:rsid w:val="200C3464"/>
    <w:rsid w:val="21951C5D"/>
    <w:rsid w:val="23B60935"/>
    <w:rsid w:val="245503E6"/>
    <w:rsid w:val="24874408"/>
    <w:rsid w:val="24883CAD"/>
    <w:rsid w:val="24BF2D95"/>
    <w:rsid w:val="259D1AFE"/>
    <w:rsid w:val="25BA7F75"/>
    <w:rsid w:val="25DE44B5"/>
    <w:rsid w:val="264801BD"/>
    <w:rsid w:val="267537D8"/>
    <w:rsid w:val="26A67AF4"/>
    <w:rsid w:val="27933CD9"/>
    <w:rsid w:val="27B75BEB"/>
    <w:rsid w:val="28126BBF"/>
    <w:rsid w:val="292B0A24"/>
    <w:rsid w:val="292E08DE"/>
    <w:rsid w:val="29E622D3"/>
    <w:rsid w:val="2A225DF1"/>
    <w:rsid w:val="2B6A410E"/>
    <w:rsid w:val="2B9E5DD1"/>
    <w:rsid w:val="2C761843"/>
    <w:rsid w:val="2D4E2C33"/>
    <w:rsid w:val="2DC647A7"/>
    <w:rsid w:val="2E1B2848"/>
    <w:rsid w:val="2E342253"/>
    <w:rsid w:val="2FA05CF7"/>
    <w:rsid w:val="300D6BCC"/>
    <w:rsid w:val="31140310"/>
    <w:rsid w:val="318F1FBE"/>
    <w:rsid w:val="339B7C29"/>
    <w:rsid w:val="345319C9"/>
    <w:rsid w:val="37377380"/>
    <w:rsid w:val="37887BDC"/>
    <w:rsid w:val="37A7439E"/>
    <w:rsid w:val="37CA2BC5"/>
    <w:rsid w:val="37F03342"/>
    <w:rsid w:val="38544E55"/>
    <w:rsid w:val="39963E4D"/>
    <w:rsid w:val="3B0F7CBC"/>
    <w:rsid w:val="3B275F4B"/>
    <w:rsid w:val="3E015FF2"/>
    <w:rsid w:val="3E4F32EC"/>
    <w:rsid w:val="3E5157CB"/>
    <w:rsid w:val="3E6D1EE0"/>
    <w:rsid w:val="3F096553"/>
    <w:rsid w:val="40130CAF"/>
    <w:rsid w:val="40490B34"/>
    <w:rsid w:val="420E65EA"/>
    <w:rsid w:val="42BF1B92"/>
    <w:rsid w:val="435E2995"/>
    <w:rsid w:val="43966372"/>
    <w:rsid w:val="44EF43A5"/>
    <w:rsid w:val="46AE2EAA"/>
    <w:rsid w:val="47D32116"/>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7E16D3"/>
    <w:rsid w:val="52C14E18"/>
    <w:rsid w:val="5316709E"/>
    <w:rsid w:val="55E520A8"/>
    <w:rsid w:val="567B3B9E"/>
    <w:rsid w:val="56E07198"/>
    <w:rsid w:val="57221F02"/>
    <w:rsid w:val="57960F83"/>
    <w:rsid w:val="57DB3B40"/>
    <w:rsid w:val="58733762"/>
    <w:rsid w:val="590772D6"/>
    <w:rsid w:val="59D75C73"/>
    <w:rsid w:val="5BBF6D32"/>
    <w:rsid w:val="5C02364F"/>
    <w:rsid w:val="5C4A6C71"/>
    <w:rsid w:val="5CA61E20"/>
    <w:rsid w:val="5D9E05A7"/>
    <w:rsid w:val="5DF96E76"/>
    <w:rsid w:val="5E0F059C"/>
    <w:rsid w:val="5EB9237C"/>
    <w:rsid w:val="5EC155FD"/>
    <w:rsid w:val="5F0458F0"/>
    <w:rsid w:val="5FE226DD"/>
    <w:rsid w:val="60C33852"/>
    <w:rsid w:val="61547E11"/>
    <w:rsid w:val="61852A60"/>
    <w:rsid w:val="62567581"/>
    <w:rsid w:val="63D4721D"/>
    <w:rsid w:val="64467711"/>
    <w:rsid w:val="64E752C4"/>
    <w:rsid w:val="65D95803"/>
    <w:rsid w:val="65F729C7"/>
    <w:rsid w:val="66934D57"/>
    <w:rsid w:val="66A27154"/>
    <w:rsid w:val="66A80E51"/>
    <w:rsid w:val="673C3170"/>
    <w:rsid w:val="677551D7"/>
    <w:rsid w:val="698D373B"/>
    <w:rsid w:val="69FD1FFD"/>
    <w:rsid w:val="6A2B5BCA"/>
    <w:rsid w:val="6AA75C6E"/>
    <w:rsid w:val="6BB31049"/>
    <w:rsid w:val="6BF15785"/>
    <w:rsid w:val="6CF430F2"/>
    <w:rsid w:val="6D3C0639"/>
    <w:rsid w:val="6DB96BEC"/>
    <w:rsid w:val="6F321DFD"/>
    <w:rsid w:val="6F575DD1"/>
    <w:rsid w:val="70155795"/>
    <w:rsid w:val="702E6762"/>
    <w:rsid w:val="70314EAA"/>
    <w:rsid w:val="706B3AE0"/>
    <w:rsid w:val="70A15D8A"/>
    <w:rsid w:val="70E138DD"/>
    <w:rsid w:val="71270FB3"/>
    <w:rsid w:val="71E07B02"/>
    <w:rsid w:val="71F66174"/>
    <w:rsid w:val="72C34258"/>
    <w:rsid w:val="73BC78A8"/>
    <w:rsid w:val="73CE218C"/>
    <w:rsid w:val="74AA472D"/>
    <w:rsid w:val="768165E1"/>
    <w:rsid w:val="79DA1D09"/>
    <w:rsid w:val="7A182199"/>
    <w:rsid w:val="7A644061"/>
    <w:rsid w:val="7AE1770B"/>
    <w:rsid w:val="7B114A31"/>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 w:type="character" w:customStyle="1" w:styleId="51">
    <w:name w:val="font41"/>
    <w:basedOn w:val="2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1486</Words>
  <Characters>1740</Characters>
  <Lines>0</Lines>
  <Paragraphs>0</Paragraphs>
  <TotalTime>3</TotalTime>
  <ScaleCrop>false</ScaleCrop>
  <LinksUpToDate>false</LinksUpToDate>
  <CharactersWithSpaces>2102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九  命猫</cp:lastModifiedBy>
  <cp:lastPrinted>2023-11-07T01:59:00Z</cp:lastPrinted>
  <dcterms:modified xsi:type="dcterms:W3CDTF">2025-04-29T07:09:40Z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1641D84809F9452EB1172B1A6E41CCB9_13</vt:lpwstr>
  </property>
  <property fmtid="{D5CDD505-2E9C-101B-9397-08002B2CF9AE}" pid="4" name="KSOTemplateDocerSaveRecord">
    <vt:lpwstr>eyJoZGlkIjoiZDNlMDNjN2NmZDEyYzQ1OWQ5ODE2NTM2YmFlMGM0NTEiLCJ1c2VySWQiOiI0MzAxMDg3NjkifQ==</vt:lpwstr>
  </property>
</Properties>
</file>