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eastAsia="宋体" w:cs="宋体"/>
          <w:b/>
          <w:i w:val="0"/>
          <w:iCs w:val="0"/>
          <w:color w:val="000000"/>
          <w:kern w:val="0"/>
          <w:sz w:val="48"/>
          <w:szCs w:val="48"/>
          <w:u w:val="none"/>
          <w:lang w:val="en-US" w:eastAsia="zh-CN" w:bidi="ar"/>
        </w:rPr>
        <w:t>服务器设备采购询价文件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2.3、营业执照（加盖公章）</w:t>
      </w:r>
    </w:p>
    <w:p w14:paraId="03E1B578">
      <w:pPr>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p>
    <w:p w14:paraId="04905235">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2.4、原厂授权（加盖公章）</w:t>
      </w:r>
    </w:p>
    <w:tbl>
      <w:tblPr>
        <w:tblW w:w="143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080"/>
        <w:gridCol w:w="1695"/>
        <w:gridCol w:w="4140"/>
        <w:gridCol w:w="1080"/>
        <w:gridCol w:w="1080"/>
        <w:gridCol w:w="1515"/>
        <w:gridCol w:w="1080"/>
        <w:gridCol w:w="1155"/>
        <w:gridCol w:w="1500"/>
      </w:tblGrid>
      <w:tr w14:paraId="31129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5" w:hRule="atLeast"/>
        </w:trPr>
        <w:tc>
          <w:tcPr>
            <w:tcW w:w="14325" w:type="dxa"/>
            <w:gridSpan w:val="9"/>
            <w:tcBorders>
              <w:top w:val="nil"/>
              <w:left w:val="nil"/>
              <w:bottom w:val="nil"/>
              <w:right w:val="nil"/>
            </w:tcBorders>
            <w:shd w:val="clear"/>
            <w:vAlign w:val="center"/>
          </w:tcPr>
          <w:p w14:paraId="5E1161D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bdr w:val="none" w:color="auto" w:sz="0" w:space="0"/>
                <w:lang w:val="en-US" w:eastAsia="zh-CN" w:bidi="ar"/>
              </w:rPr>
              <w:t>三、清单报价表</w:t>
            </w:r>
          </w:p>
        </w:tc>
      </w:tr>
      <w:tr w14:paraId="457C9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58AD240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询价单位</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3693267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江苏省淮安市保安服务有限公司</w:t>
            </w: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642306C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报价单位</w:t>
            </w:r>
          </w:p>
        </w:tc>
        <w:tc>
          <w:tcPr>
            <w:tcW w:w="5250" w:type="dxa"/>
            <w:gridSpan w:val="4"/>
            <w:tcBorders>
              <w:top w:val="single" w:color="000000" w:sz="4" w:space="0"/>
              <w:left w:val="nil"/>
              <w:bottom w:val="single" w:color="000000" w:sz="4" w:space="0"/>
              <w:right w:val="single" w:color="000000" w:sz="4" w:space="0"/>
            </w:tcBorders>
            <w:shd w:val="clear"/>
            <w:vAlign w:val="center"/>
          </w:tcPr>
          <w:p w14:paraId="6B2FD08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必填（盖章）</w:t>
            </w:r>
          </w:p>
        </w:tc>
      </w:tr>
      <w:tr w14:paraId="30458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2231453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联系人</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7C9FBE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03159CA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法定代表人或授权委托人</w:t>
            </w:r>
          </w:p>
        </w:tc>
        <w:tc>
          <w:tcPr>
            <w:tcW w:w="5250" w:type="dxa"/>
            <w:gridSpan w:val="4"/>
            <w:tcBorders>
              <w:top w:val="single" w:color="000000" w:sz="4" w:space="0"/>
              <w:left w:val="nil"/>
              <w:bottom w:val="single" w:color="000000" w:sz="4" w:space="0"/>
              <w:right w:val="single" w:color="000000" w:sz="4" w:space="0"/>
            </w:tcBorders>
            <w:shd w:val="clear"/>
            <w:vAlign w:val="center"/>
          </w:tcPr>
          <w:p w14:paraId="441D230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07A16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0444C7F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电话</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7A05E1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069A646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电话</w:t>
            </w:r>
          </w:p>
        </w:tc>
        <w:tc>
          <w:tcPr>
            <w:tcW w:w="5250" w:type="dxa"/>
            <w:gridSpan w:val="4"/>
            <w:tcBorders>
              <w:top w:val="single" w:color="000000" w:sz="4" w:space="0"/>
              <w:left w:val="nil"/>
              <w:bottom w:val="single" w:color="000000" w:sz="4" w:space="0"/>
              <w:right w:val="single" w:color="000000" w:sz="4" w:space="0"/>
            </w:tcBorders>
            <w:shd w:val="clear"/>
            <w:vAlign w:val="center"/>
          </w:tcPr>
          <w:p w14:paraId="6C55185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5C670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2B395D7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邮箱</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31BC067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bdr w:val="none" w:color="auto" w:sz="0" w:space="0"/>
                <w:lang w:val="en-US" w:eastAsia="zh-CN" w:bidi="ar"/>
              </w:rPr>
              <w:t>HABAccb@163.com</w:t>
            </w: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4D744B2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邮箱</w:t>
            </w:r>
          </w:p>
        </w:tc>
        <w:tc>
          <w:tcPr>
            <w:tcW w:w="5250" w:type="dxa"/>
            <w:gridSpan w:val="4"/>
            <w:tcBorders>
              <w:top w:val="single" w:color="000000" w:sz="4" w:space="0"/>
              <w:left w:val="nil"/>
              <w:bottom w:val="single" w:color="000000" w:sz="4" w:space="0"/>
              <w:right w:val="single" w:color="000000" w:sz="4" w:space="0"/>
            </w:tcBorders>
            <w:shd w:val="clear"/>
            <w:vAlign w:val="center"/>
          </w:tcPr>
          <w:p w14:paraId="64CE01A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29C3D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047C42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08FCCF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0B2FB7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报价日期</w:t>
            </w:r>
          </w:p>
        </w:tc>
        <w:tc>
          <w:tcPr>
            <w:tcW w:w="5250" w:type="dxa"/>
            <w:gridSpan w:val="4"/>
            <w:tcBorders>
              <w:top w:val="single" w:color="000000" w:sz="4" w:space="0"/>
              <w:left w:val="nil"/>
              <w:bottom w:val="single" w:color="000000" w:sz="4" w:space="0"/>
              <w:right w:val="single" w:color="000000" w:sz="4" w:space="0"/>
            </w:tcBorders>
            <w:shd w:val="clear"/>
            <w:vAlign w:val="center"/>
          </w:tcPr>
          <w:p w14:paraId="0192A9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59AD6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vAlign w:val="center"/>
          </w:tcPr>
          <w:p w14:paraId="7663DC8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序号</w:t>
            </w:r>
          </w:p>
        </w:tc>
        <w:tc>
          <w:tcPr>
            <w:tcW w:w="1695" w:type="dxa"/>
            <w:vMerge w:val="restart"/>
            <w:tcBorders>
              <w:top w:val="single" w:color="000000" w:sz="4" w:space="0"/>
              <w:left w:val="single" w:color="000000" w:sz="4" w:space="0"/>
              <w:bottom w:val="single" w:color="000000" w:sz="4" w:space="0"/>
              <w:right w:val="single" w:color="000000" w:sz="4" w:space="0"/>
            </w:tcBorders>
            <w:shd w:val="clear"/>
            <w:vAlign w:val="center"/>
          </w:tcPr>
          <w:p w14:paraId="2454427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项目名称</w:t>
            </w:r>
          </w:p>
        </w:tc>
        <w:tc>
          <w:tcPr>
            <w:tcW w:w="4140" w:type="dxa"/>
            <w:vMerge w:val="restart"/>
            <w:tcBorders>
              <w:top w:val="single" w:color="000000" w:sz="4" w:space="0"/>
              <w:left w:val="single" w:color="000000" w:sz="4" w:space="0"/>
              <w:bottom w:val="single" w:color="000000" w:sz="4" w:space="0"/>
              <w:right w:val="single" w:color="000000" w:sz="4" w:space="0"/>
            </w:tcBorders>
            <w:shd w:val="clear"/>
            <w:vAlign w:val="center"/>
          </w:tcPr>
          <w:p w14:paraId="738BEE2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技术参数</w:t>
            </w:r>
          </w:p>
        </w:tc>
        <w:tc>
          <w:tcPr>
            <w:tcW w:w="1080" w:type="dxa"/>
            <w:vMerge w:val="restart"/>
            <w:tcBorders>
              <w:top w:val="single" w:color="000000" w:sz="4" w:space="0"/>
              <w:left w:val="single" w:color="000000" w:sz="4" w:space="0"/>
              <w:bottom w:val="single" w:color="000000" w:sz="4" w:space="0"/>
              <w:right w:val="single" w:color="000000" w:sz="4" w:space="0"/>
            </w:tcBorders>
            <w:shd w:val="clear"/>
            <w:vAlign w:val="center"/>
          </w:tcPr>
          <w:p w14:paraId="43D0F40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vAlign w:val="center"/>
          </w:tcPr>
          <w:p w14:paraId="0B0489E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数量</w:t>
            </w:r>
          </w:p>
        </w:tc>
        <w:tc>
          <w:tcPr>
            <w:tcW w:w="1515" w:type="dxa"/>
            <w:vMerge w:val="restart"/>
            <w:tcBorders>
              <w:top w:val="single" w:color="000000" w:sz="4" w:space="0"/>
              <w:left w:val="single" w:color="000000" w:sz="4" w:space="0"/>
              <w:bottom w:val="single" w:color="000000" w:sz="4" w:space="0"/>
              <w:right w:val="single" w:color="000000" w:sz="4" w:space="0"/>
            </w:tcBorders>
            <w:shd w:val="clear"/>
            <w:vAlign w:val="center"/>
          </w:tcPr>
          <w:p w14:paraId="732B2F6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品牌型号</w:t>
            </w:r>
          </w:p>
        </w:tc>
        <w:tc>
          <w:tcPr>
            <w:tcW w:w="2235" w:type="dxa"/>
            <w:gridSpan w:val="2"/>
            <w:tcBorders>
              <w:top w:val="single" w:color="000000" w:sz="4" w:space="0"/>
              <w:left w:val="single" w:color="000000" w:sz="4" w:space="0"/>
              <w:bottom w:val="single" w:color="000000" w:sz="4" w:space="0"/>
              <w:right w:val="single" w:color="000000" w:sz="4" w:space="0"/>
            </w:tcBorders>
            <w:shd w:val="clear"/>
            <w:vAlign w:val="center"/>
          </w:tcPr>
          <w:p w14:paraId="1F954BF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金额（元）</w:t>
            </w:r>
          </w:p>
        </w:tc>
        <w:tc>
          <w:tcPr>
            <w:tcW w:w="1500" w:type="dxa"/>
            <w:vMerge w:val="restart"/>
            <w:tcBorders>
              <w:top w:val="single" w:color="000000" w:sz="4" w:space="0"/>
              <w:left w:val="single" w:color="000000" w:sz="4" w:space="0"/>
              <w:bottom w:val="single" w:color="000000" w:sz="4" w:space="0"/>
              <w:right w:val="single" w:color="000000" w:sz="4" w:space="0"/>
            </w:tcBorders>
            <w:shd w:val="clear"/>
            <w:vAlign w:val="center"/>
          </w:tcPr>
          <w:p w14:paraId="1C12A6B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备注</w:t>
            </w:r>
          </w:p>
        </w:tc>
      </w:tr>
      <w:tr w14:paraId="199D8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3FD28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9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605AF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14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125F0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6CB814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030E0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57E24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22E762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单价</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2EC3F5A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合价</w:t>
            </w:r>
          </w:p>
        </w:tc>
        <w:tc>
          <w:tcPr>
            <w:tcW w:w="150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276E8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4769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9BC816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4354B17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服务器</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78358F6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1、CPU：不低于2颗 核数≥16核，频率≥2.5GHz（CPU需在中国信息安全测评中心安全可靠测评结果公告目录中）；</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2、内存:≥64G ；</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3、硬盘：sas盘≥1.2T；</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4、阵列卡： 支持RAID 0/1/10；</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5、网口≥2个千兆电口，≥2个万兆光口（含光模块）；</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6、电源：标配800W（1+1）冗余电源；</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7、国产操作系统（需在中国信息安全测评中心安全可靠测评结果公告目录中）。</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8、提供三年质保；</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19C862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857859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123FD92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品牌：浪潮，CS5260H2系列</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042DF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B2061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5E8A09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AAF1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E10544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2C38B74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电教工作站</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4E5D96B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1、CPU不低于1颗，核数≥8核，主频≥3.0 GHz（CPU需在中国信息安全测评中心安全可靠测评结果公告目录中，提供公告截图）；</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2、内存≥16G；</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3、硬盘≥1T SSD盘；</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4、独立显卡≥2G；</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5、显示器≥27寸；</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6、电源≥200W；</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7、含键盘、鼠标；</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8、提供三年质保；</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D87A78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4EAF69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20F95E7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品牌：浪潮，型号：CE 530H</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2AFE8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02538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6CA9E6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9736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32E4E7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79978A1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管理服务器（安防管理）</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44CB6CE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1、CPU：不低于2颗 核数≥16核，频率≥2.5GHz（CPU需在中国信息安全测评中心安全可靠测评结果公告目录中）；</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2、内存：≥128 GB；</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3、硬盘：2T 3.5吋/SATA硬盘×2；</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4、阵列卡：SAS+HBA卡，支持RAID 0/1/10 ；</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5、网口：4个千兆网口；</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6、电源：1+1冗余电源；</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7、国产操作系统（需在中国信息安全测评中心安全可靠测评结果公告目录中）。</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8、提供三年质保</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7EF03E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148656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4630F2D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品牌：浪潮，CS5260H2系列</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409E3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4D4FF7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03299A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5609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DA80D9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2736473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流媒体服务器（安防管理）</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70405F4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1、CPU：不低于2颗 核数≥10核，频率≥2.5GHz（CPU需在中国信息安全测评中心安全可靠测评结果公告目录中）；</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2、内存：≥32 GB；</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3、硬盘：2T 3.5吋/SATA硬盘×2；</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4、网口：4个千兆网口；</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5、国产操作系统（需在中国信息安全测评中心安全可靠测评结果公告目录中）。</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6、提供三年质保</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0A49F8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61716B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53E469B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品牌：浪潮，CS5260H2系列</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8F7ED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724BA8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74A3EC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8CCDD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B639DC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4E6D730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管理电脑</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17651F1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1、CPU不低于颗，核数≥8核，主频≥3.0 GHz（CPU需在中国信息安全测评中心安全可靠测评结果公告目录中，提供公告截图）；</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2、内存≥16G；</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3、硬盘≥1T SSD盘；</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4、独立显卡≥2G；</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5、显示器≥27寸；</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6、电源≥200W；</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7、含键盘、鼠标；</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8、提供三年质保；</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17D419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BA2C3E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3AB91D2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品牌：浪潮，型号：CE 530H</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D56FE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76F956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7990D5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4A0B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91722C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7AFF082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服务器</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3D0EA39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1、CPU：不低于1颗 核数≥16核，频率≥2.4GHz（CPU需在中国信息安全测评中心安全可靠测评结果公告目录中，提供公告截图）；</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2、内存:≥64G ；</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3、硬盘：≥8T SATA硬盘；</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4、阵列卡：SAS+HBA卡支持RAID 0/1/10；</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5、网口≥2个千兆电口，≥2个万兆光口；</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6、电源：（1+1）冗余电源；</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7、国产操作系统（需在中国信息安全测评中心安全可靠测评结果公告目录中）。</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589C74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FC6EBA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7DDA2B2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品牌：浪潮，CS5260H2系列</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A0CBF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6D4CA0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730CAB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6BF9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7E55C6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400D4F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转码服务器</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769633C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1、CPU：不低于1颗 核数≥16核，频率≥2.4GHz（CPU需在中国信息安全测评中心安全可靠测评结果公告目录中）；</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2、内存:≥64G ；</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3、硬盘：≥16T SATA硬盘；</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4、阵列卡： 支持RAID 0/1/10；</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5、网口≥2个千兆电口；</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6、电源：（1+1）冗余电源；</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7、国产操作系统（需在中国信息安全测评中心安全可靠测评结果公告目录中）。</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8、提供三年质保</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DDC114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CEB124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5E1DFF8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品牌：浪潮，型号：CS5260H2</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A4BBE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DDBAC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2F5472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5881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86415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3245" w:type="dxa"/>
            <w:gridSpan w:val="8"/>
            <w:tcBorders>
              <w:top w:val="single" w:color="000000" w:sz="4" w:space="0"/>
              <w:left w:val="single" w:color="000000" w:sz="4" w:space="0"/>
              <w:bottom w:val="single" w:color="000000" w:sz="4" w:space="0"/>
              <w:right w:val="single" w:color="000000" w:sz="4" w:space="0"/>
            </w:tcBorders>
            <w:shd w:val="clear"/>
            <w:vAlign w:val="center"/>
          </w:tcPr>
          <w:p w14:paraId="6FE417F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4" name="Text_Box_5"/>
                  <wp:cNvGraphicFramePr/>
                  <a:graphic xmlns:a="http://schemas.openxmlformats.org/drawingml/2006/main">
                    <a:graphicData uri="http://schemas.openxmlformats.org/drawingml/2006/picture">
                      <pic:pic xmlns:pic="http://schemas.openxmlformats.org/drawingml/2006/picture">
                        <pic:nvPicPr>
                          <pic:cNvPr id="14" name="Text_Box_5"/>
                          <pic:cNvPicPr/>
                        </pic:nvPicPr>
                        <pic:blipFill>
                          <a:blip r:embed="rId6"/>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5" name="Text_Box_9"/>
                  <wp:cNvGraphicFramePr/>
                  <a:graphic xmlns:a="http://schemas.openxmlformats.org/drawingml/2006/main">
                    <a:graphicData uri="http://schemas.openxmlformats.org/drawingml/2006/picture">
                      <pic:pic xmlns:pic="http://schemas.openxmlformats.org/drawingml/2006/picture">
                        <pic:nvPicPr>
                          <pic:cNvPr id="15" name="Text_Box_9"/>
                          <pic:cNvPicPr/>
                        </pic:nvPicPr>
                        <pic:blipFill>
                          <a:blip r:embed="rId7"/>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6" name="Text_Box_5_SpCnt_1"/>
                  <wp:cNvGraphicFramePr/>
                  <a:graphic xmlns:a="http://schemas.openxmlformats.org/drawingml/2006/main">
                    <a:graphicData uri="http://schemas.openxmlformats.org/drawingml/2006/picture">
                      <pic:pic xmlns:pic="http://schemas.openxmlformats.org/drawingml/2006/picture">
                        <pic:nvPicPr>
                          <pic:cNvPr id="16" name="Text_Box_5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9" name="Text_Box_9_SpCnt_1"/>
                  <wp:cNvGraphicFramePr/>
                  <a:graphic xmlns:a="http://schemas.openxmlformats.org/drawingml/2006/main">
                    <a:graphicData uri="http://schemas.openxmlformats.org/drawingml/2006/picture">
                      <pic:pic xmlns:pic="http://schemas.openxmlformats.org/drawingml/2006/picture">
                        <pic:nvPicPr>
                          <pic:cNvPr id="19" name="Text_Box_9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7" name="Text_Box_12"/>
                  <wp:cNvGraphicFramePr/>
                  <a:graphic xmlns:a="http://schemas.openxmlformats.org/drawingml/2006/main">
                    <a:graphicData uri="http://schemas.openxmlformats.org/drawingml/2006/picture">
                      <pic:pic xmlns:pic="http://schemas.openxmlformats.org/drawingml/2006/picture">
                        <pic:nvPicPr>
                          <pic:cNvPr id="17" name="Text_Box_1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8" name="Text_Box_10"/>
                  <wp:cNvGraphicFramePr/>
                  <a:graphic xmlns:a="http://schemas.openxmlformats.org/drawingml/2006/main">
                    <a:graphicData uri="http://schemas.openxmlformats.org/drawingml/2006/picture">
                      <pic:pic xmlns:pic="http://schemas.openxmlformats.org/drawingml/2006/picture">
                        <pic:nvPicPr>
                          <pic:cNvPr id="18" name="Text_Box_10"/>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0" name="Text_Box_9_SpCnt_2"/>
                  <wp:cNvGraphicFramePr/>
                  <a:graphic xmlns:a="http://schemas.openxmlformats.org/drawingml/2006/main">
                    <a:graphicData uri="http://schemas.openxmlformats.org/drawingml/2006/picture">
                      <pic:pic xmlns:pic="http://schemas.openxmlformats.org/drawingml/2006/picture">
                        <pic:nvPicPr>
                          <pic:cNvPr id="20" name="Text_Box_9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9" name="Text_Box_7"/>
                  <wp:cNvGraphicFramePr/>
                  <a:graphic xmlns:a="http://schemas.openxmlformats.org/drawingml/2006/main">
                    <a:graphicData uri="http://schemas.openxmlformats.org/drawingml/2006/picture">
                      <pic:pic xmlns:pic="http://schemas.openxmlformats.org/drawingml/2006/picture">
                        <pic:nvPicPr>
                          <pic:cNvPr id="9" name="Text_Box_7"/>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1" name="Text_Box_5_SpCnt_2"/>
                  <wp:cNvGraphicFramePr/>
                  <a:graphic xmlns:a="http://schemas.openxmlformats.org/drawingml/2006/main">
                    <a:graphicData uri="http://schemas.openxmlformats.org/drawingml/2006/picture">
                      <pic:pic xmlns:pic="http://schemas.openxmlformats.org/drawingml/2006/picture">
                        <pic:nvPicPr>
                          <pic:cNvPr id="21" name="Text_Box_5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3" name="Text_Box_14"/>
                  <wp:cNvGraphicFramePr/>
                  <a:graphic xmlns:a="http://schemas.openxmlformats.org/drawingml/2006/main">
                    <a:graphicData uri="http://schemas.openxmlformats.org/drawingml/2006/picture">
                      <pic:pic xmlns:pic="http://schemas.openxmlformats.org/drawingml/2006/picture">
                        <pic:nvPicPr>
                          <pic:cNvPr id="23" name="Text_Box_14"/>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2" name="Text_Box_12_SpCnt_1"/>
                  <wp:cNvGraphicFramePr/>
                  <a:graphic xmlns:a="http://schemas.openxmlformats.org/drawingml/2006/main">
                    <a:graphicData uri="http://schemas.openxmlformats.org/drawingml/2006/picture">
                      <pic:pic xmlns:pic="http://schemas.openxmlformats.org/drawingml/2006/picture">
                        <pic:nvPicPr>
                          <pic:cNvPr id="22" name="Text_Box_12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0" name="Text_Box_7_SpCnt_1"/>
                  <wp:cNvGraphicFramePr/>
                  <a:graphic xmlns:a="http://schemas.openxmlformats.org/drawingml/2006/main">
                    <a:graphicData uri="http://schemas.openxmlformats.org/drawingml/2006/picture">
                      <pic:pic xmlns:pic="http://schemas.openxmlformats.org/drawingml/2006/picture">
                        <pic:nvPicPr>
                          <pic:cNvPr id="10" name="Text_Box_7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 name="Text_Box_10_SpCnt_1"/>
                  <wp:cNvGraphicFramePr/>
                  <a:graphic xmlns:a="http://schemas.openxmlformats.org/drawingml/2006/main">
                    <a:graphicData uri="http://schemas.openxmlformats.org/drawingml/2006/picture">
                      <pic:pic xmlns:pic="http://schemas.openxmlformats.org/drawingml/2006/picture">
                        <pic:nvPicPr>
                          <pic:cNvPr id="7" name="Text_Box_10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 name="Text_Box_5_SpCnt_3"/>
                  <wp:cNvGraphicFramePr/>
                  <a:graphic xmlns:a="http://schemas.openxmlformats.org/drawingml/2006/main">
                    <a:graphicData uri="http://schemas.openxmlformats.org/drawingml/2006/picture">
                      <pic:pic xmlns:pic="http://schemas.openxmlformats.org/drawingml/2006/picture">
                        <pic:nvPicPr>
                          <pic:cNvPr id="8" name="Text_Box_5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1" name="Text_Box_14_SpCnt_1"/>
                  <wp:cNvGraphicFramePr/>
                  <a:graphic xmlns:a="http://schemas.openxmlformats.org/drawingml/2006/main">
                    <a:graphicData uri="http://schemas.openxmlformats.org/drawingml/2006/picture">
                      <pic:pic xmlns:pic="http://schemas.openxmlformats.org/drawingml/2006/picture">
                        <pic:nvPicPr>
                          <pic:cNvPr id="11" name="Text_Box_14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2" name="Text_Box_12_SpCnt_2"/>
                  <wp:cNvGraphicFramePr/>
                  <a:graphic xmlns:a="http://schemas.openxmlformats.org/drawingml/2006/main">
                    <a:graphicData uri="http://schemas.openxmlformats.org/drawingml/2006/picture">
                      <pic:pic xmlns:pic="http://schemas.openxmlformats.org/drawingml/2006/picture">
                        <pic:nvPicPr>
                          <pic:cNvPr id="12" name="Text_Box_12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3" name="Text_Box_10_SpCnt_2"/>
                  <wp:cNvGraphicFramePr/>
                  <a:graphic xmlns:a="http://schemas.openxmlformats.org/drawingml/2006/main">
                    <a:graphicData uri="http://schemas.openxmlformats.org/drawingml/2006/picture">
                      <pic:pic xmlns:pic="http://schemas.openxmlformats.org/drawingml/2006/picture">
                        <pic:nvPicPr>
                          <pic:cNvPr id="13" name="Text_Box_10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6" name="Text_Box_9_SpCnt_3"/>
                  <wp:cNvGraphicFramePr/>
                  <a:graphic xmlns:a="http://schemas.openxmlformats.org/drawingml/2006/main">
                    <a:graphicData uri="http://schemas.openxmlformats.org/drawingml/2006/picture">
                      <pic:pic xmlns:pic="http://schemas.openxmlformats.org/drawingml/2006/picture">
                        <pic:nvPicPr>
                          <pic:cNvPr id="6" name="Text_Box_9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5" name="Text_Box_14_SpCnt_2"/>
                  <wp:cNvGraphicFramePr/>
                  <a:graphic xmlns:a="http://schemas.openxmlformats.org/drawingml/2006/main">
                    <a:graphicData uri="http://schemas.openxmlformats.org/drawingml/2006/picture">
                      <pic:pic xmlns:pic="http://schemas.openxmlformats.org/drawingml/2006/picture">
                        <pic:nvPicPr>
                          <pic:cNvPr id="5" name="Text_Box_14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 name="Text_Box_7_SpCnt_2"/>
                  <wp:cNvGraphicFramePr/>
                  <a:graphic xmlns:a="http://schemas.openxmlformats.org/drawingml/2006/main">
                    <a:graphicData uri="http://schemas.openxmlformats.org/drawingml/2006/picture">
                      <pic:pic xmlns:pic="http://schemas.openxmlformats.org/drawingml/2006/picture">
                        <pic:nvPicPr>
                          <pic:cNvPr id="4" name="Text_Box_7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 name="Text_Box_12_SpCnt_3"/>
                  <wp:cNvGraphicFramePr/>
                  <a:graphic xmlns:a="http://schemas.openxmlformats.org/drawingml/2006/main">
                    <a:graphicData uri="http://schemas.openxmlformats.org/drawingml/2006/picture">
                      <pic:pic xmlns:pic="http://schemas.openxmlformats.org/drawingml/2006/picture">
                        <pic:nvPicPr>
                          <pic:cNvPr id="3" name="Text_Box_12_SpCnt_3"/>
                          <pic:cNvPicPr/>
                        </pic:nvPicPr>
                        <pic:blipFill>
                          <a:blip r:embed="rId9"/>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 name="Text_Box_7_SpCnt_3"/>
                  <wp:cNvGraphicFramePr/>
                  <a:graphic xmlns:a="http://schemas.openxmlformats.org/drawingml/2006/main">
                    <a:graphicData uri="http://schemas.openxmlformats.org/drawingml/2006/picture">
                      <pic:pic xmlns:pic="http://schemas.openxmlformats.org/drawingml/2006/picture">
                        <pic:nvPicPr>
                          <pic:cNvPr id="2" name="Text_Box_7_SpCnt_3"/>
                          <pic:cNvPicPr/>
                        </pic:nvPicPr>
                        <pic:blipFill>
                          <a:blip r:embed="rId10"/>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 name="Text_Box_10_SpCnt_3"/>
                  <wp:cNvGraphicFramePr/>
                  <a:graphic xmlns:a="http://schemas.openxmlformats.org/drawingml/2006/main">
                    <a:graphicData uri="http://schemas.openxmlformats.org/drawingml/2006/picture">
                      <pic:pic xmlns:pic="http://schemas.openxmlformats.org/drawingml/2006/picture">
                        <pic:nvPicPr>
                          <pic:cNvPr id="1" name="Text_Box_10_SpCnt_3"/>
                          <pic:cNvPicPr/>
                        </pic:nvPicPr>
                        <pic:blipFill>
                          <a:blip r:embed="rId11"/>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none" w:color="auto" w:sz="0" w:space="0"/>
                <w:lang w:val="en-US" w:eastAsia="zh-CN" w:bidi="ar"/>
              </w:rPr>
              <w:t>合计：</w:t>
            </w:r>
            <w:r>
              <w:rPr>
                <w:rFonts w:hint="eastAsia" w:ascii="宋体" w:hAnsi="宋体" w:eastAsia="宋体" w:cs="宋体"/>
                <w:i w:val="0"/>
                <w:iCs w:val="0"/>
                <w:color w:val="000000"/>
                <w:kern w:val="0"/>
                <w:sz w:val="24"/>
                <w:szCs w:val="24"/>
                <w:u w:val="single"/>
                <w:bdr w:val="none" w:color="auto" w:sz="0" w:space="0"/>
                <w:lang w:val="en-US" w:eastAsia="zh-CN" w:bidi="ar"/>
              </w:rPr>
              <w:t xml:space="preserve">        </w:t>
            </w:r>
            <w:r>
              <w:rPr>
                <w:rFonts w:hint="eastAsia" w:ascii="宋体" w:hAnsi="宋体" w:eastAsia="宋体" w:cs="宋体"/>
                <w:i w:val="0"/>
                <w:iCs w:val="0"/>
                <w:color w:val="000000"/>
                <w:kern w:val="0"/>
                <w:sz w:val="24"/>
                <w:szCs w:val="24"/>
                <w:u w:val="none"/>
                <w:bdr w:val="none" w:color="auto" w:sz="0" w:space="0"/>
                <w:lang w:val="en-US" w:eastAsia="zh-CN" w:bidi="ar"/>
              </w:rPr>
              <w:t>元</w:t>
            </w:r>
          </w:p>
        </w:tc>
      </w:tr>
      <w:tr w14:paraId="1683B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4325" w:type="dxa"/>
            <w:gridSpan w:val="9"/>
            <w:tcBorders>
              <w:top w:val="single" w:color="000000" w:sz="4" w:space="0"/>
              <w:left w:val="single" w:color="000000" w:sz="4" w:space="0"/>
              <w:bottom w:val="single" w:color="000000" w:sz="4" w:space="0"/>
              <w:right w:val="single" w:color="000000" w:sz="4" w:space="0"/>
            </w:tcBorders>
            <w:shd w:val="clear"/>
            <w:vAlign w:val="center"/>
          </w:tcPr>
          <w:p w14:paraId="5E375A3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bdr w:val="none" w:color="auto" w:sz="0" w:space="0"/>
                <w:lang w:val="en-US" w:eastAsia="zh-CN" w:bidi="ar"/>
              </w:rPr>
              <w:t>注：以上报价含可抵扣的增值税专用发票、运费、卸货以及调试相关服务费用。</w:t>
            </w:r>
          </w:p>
        </w:tc>
      </w:tr>
      <w:tr w14:paraId="58926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45CFC0B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是否接受保证金（控制价的2%）           </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1098D2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06B8A5E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是否接受履约保证金（成交金额的10%）</w:t>
            </w:r>
          </w:p>
        </w:tc>
        <w:tc>
          <w:tcPr>
            <w:tcW w:w="5250" w:type="dxa"/>
            <w:gridSpan w:val="4"/>
            <w:tcBorders>
              <w:top w:val="single" w:color="000000" w:sz="4" w:space="0"/>
              <w:left w:val="single" w:color="000000" w:sz="4" w:space="0"/>
              <w:bottom w:val="single" w:color="000000" w:sz="4" w:space="0"/>
              <w:right w:val="single" w:color="000000" w:sz="4" w:space="0"/>
            </w:tcBorders>
            <w:shd w:val="clear"/>
            <w:vAlign w:val="center"/>
          </w:tcPr>
          <w:p w14:paraId="684E0D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2821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70677FE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质保期：             </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04CF59D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bdr w:val="none" w:color="auto" w:sz="0" w:space="0"/>
                <w:lang w:val="en-US" w:eastAsia="zh-CN" w:bidi="ar"/>
              </w:rPr>
              <w:t>3年</w:t>
            </w: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4D9524E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税点：</w:t>
            </w:r>
          </w:p>
        </w:tc>
        <w:tc>
          <w:tcPr>
            <w:tcW w:w="5250" w:type="dxa"/>
            <w:gridSpan w:val="4"/>
            <w:tcBorders>
              <w:top w:val="single" w:color="000000" w:sz="4" w:space="0"/>
              <w:left w:val="single" w:color="000000" w:sz="4" w:space="0"/>
              <w:bottom w:val="single" w:color="000000" w:sz="4" w:space="0"/>
              <w:right w:val="single" w:color="000000" w:sz="4" w:space="0"/>
            </w:tcBorders>
            <w:shd w:val="clear"/>
            <w:vAlign w:val="center"/>
          </w:tcPr>
          <w:p w14:paraId="3DBD01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6659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41B3671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供货期：             </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0183E0F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bdr w:val="none" w:color="auto" w:sz="0" w:space="0"/>
                <w:lang w:val="en-US" w:eastAsia="zh-CN" w:bidi="ar"/>
              </w:rPr>
              <w:t>10天</w:t>
            </w: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50FCC77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付款方式</w:t>
            </w:r>
          </w:p>
        </w:tc>
        <w:tc>
          <w:tcPr>
            <w:tcW w:w="5250" w:type="dxa"/>
            <w:gridSpan w:val="4"/>
            <w:tcBorders>
              <w:top w:val="single" w:color="000000" w:sz="4" w:space="0"/>
              <w:left w:val="single" w:color="000000" w:sz="4" w:space="0"/>
              <w:bottom w:val="single" w:color="000000" w:sz="4" w:space="0"/>
              <w:right w:val="single" w:color="000000" w:sz="4" w:space="0"/>
            </w:tcBorders>
            <w:shd w:val="clear"/>
            <w:vAlign w:val="center"/>
          </w:tcPr>
          <w:p w14:paraId="44CA49F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bdr w:val="none" w:color="auto" w:sz="0" w:space="0"/>
                <w:lang w:val="en-US" w:eastAsia="zh-CN" w:bidi="ar"/>
              </w:rPr>
              <w:t>合同签订后个7日内支付30%预付款，货到现场安装验收合格后3个月付清尾款。</w:t>
            </w:r>
          </w:p>
        </w:tc>
      </w:tr>
    </w:tbl>
    <w:p w14:paraId="3FFE4FC2">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1、付款条件:合同签订后个7日内支付30%预付款，货到现场安装验收合格后3个月付清尾款。</w:t>
      </w:r>
      <w:bookmarkStart w:id="0" w:name="_GoBack"/>
      <w:bookmarkEnd w:id="0"/>
      <w:r>
        <w:rPr>
          <w:rFonts w:hint="eastAsia" w:ascii="仿宋" w:hAnsi="仿宋" w:eastAsia="仿宋" w:cs="仿宋"/>
          <w:color w:val="auto"/>
          <w:sz w:val="24"/>
          <w:szCs w:val="24"/>
          <w:highlight w:val="none"/>
          <w:lang w:val="en-US" w:eastAsia="zh-CN"/>
        </w:rPr>
        <w:t>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_GBK">
    <w:altName w:val="微软雅黑"/>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1B4311A"/>
    <w:rsid w:val="020D7BB0"/>
    <w:rsid w:val="023D1BA8"/>
    <w:rsid w:val="024B07E7"/>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A831766"/>
    <w:rsid w:val="0BC2638F"/>
    <w:rsid w:val="0BDC6B78"/>
    <w:rsid w:val="0C882A07"/>
    <w:rsid w:val="0CD142BE"/>
    <w:rsid w:val="0D681C76"/>
    <w:rsid w:val="0D6B0E25"/>
    <w:rsid w:val="0D78696A"/>
    <w:rsid w:val="0DBF30C4"/>
    <w:rsid w:val="0DD96789"/>
    <w:rsid w:val="0F0F7410"/>
    <w:rsid w:val="100159F1"/>
    <w:rsid w:val="10275305"/>
    <w:rsid w:val="10941E2C"/>
    <w:rsid w:val="1106690F"/>
    <w:rsid w:val="115C3F6A"/>
    <w:rsid w:val="11F315DF"/>
    <w:rsid w:val="133B07D3"/>
    <w:rsid w:val="138B678C"/>
    <w:rsid w:val="13A43BC7"/>
    <w:rsid w:val="144B0B25"/>
    <w:rsid w:val="14F94AB5"/>
    <w:rsid w:val="1516314A"/>
    <w:rsid w:val="157C124F"/>
    <w:rsid w:val="15A123AF"/>
    <w:rsid w:val="15B405D8"/>
    <w:rsid w:val="16B37629"/>
    <w:rsid w:val="173B2189"/>
    <w:rsid w:val="17CE6EF3"/>
    <w:rsid w:val="185D2018"/>
    <w:rsid w:val="1870435E"/>
    <w:rsid w:val="18B65219"/>
    <w:rsid w:val="193251CA"/>
    <w:rsid w:val="1959078F"/>
    <w:rsid w:val="19850B90"/>
    <w:rsid w:val="1A48720E"/>
    <w:rsid w:val="1B811C42"/>
    <w:rsid w:val="1B96686D"/>
    <w:rsid w:val="1BB00C3B"/>
    <w:rsid w:val="1C1414B5"/>
    <w:rsid w:val="1C44694B"/>
    <w:rsid w:val="1CB642A6"/>
    <w:rsid w:val="1CBE542C"/>
    <w:rsid w:val="1CCD669D"/>
    <w:rsid w:val="1E434544"/>
    <w:rsid w:val="1F444EB4"/>
    <w:rsid w:val="1F741D8C"/>
    <w:rsid w:val="1FC0011B"/>
    <w:rsid w:val="1FF000D2"/>
    <w:rsid w:val="1FF040AD"/>
    <w:rsid w:val="200C3464"/>
    <w:rsid w:val="23B60935"/>
    <w:rsid w:val="245503E6"/>
    <w:rsid w:val="24874408"/>
    <w:rsid w:val="24883CAD"/>
    <w:rsid w:val="24BF2D95"/>
    <w:rsid w:val="259D1AFE"/>
    <w:rsid w:val="25BA7F75"/>
    <w:rsid w:val="25DE44B5"/>
    <w:rsid w:val="264801BD"/>
    <w:rsid w:val="267537D8"/>
    <w:rsid w:val="26A67AF4"/>
    <w:rsid w:val="26D0702D"/>
    <w:rsid w:val="27933CD9"/>
    <w:rsid w:val="27B75BEB"/>
    <w:rsid w:val="28126BBF"/>
    <w:rsid w:val="281D45C6"/>
    <w:rsid w:val="292E08DE"/>
    <w:rsid w:val="29E622D3"/>
    <w:rsid w:val="2A225DF1"/>
    <w:rsid w:val="2B6A410E"/>
    <w:rsid w:val="2B9E5DD1"/>
    <w:rsid w:val="2C761843"/>
    <w:rsid w:val="2D4E2C33"/>
    <w:rsid w:val="2DC647A7"/>
    <w:rsid w:val="2E1B2848"/>
    <w:rsid w:val="2E1C17E4"/>
    <w:rsid w:val="2E342253"/>
    <w:rsid w:val="2FA05CF7"/>
    <w:rsid w:val="300D6BCC"/>
    <w:rsid w:val="30A001AC"/>
    <w:rsid w:val="31140310"/>
    <w:rsid w:val="318F1FBE"/>
    <w:rsid w:val="337A506E"/>
    <w:rsid w:val="339B7C29"/>
    <w:rsid w:val="345319C9"/>
    <w:rsid w:val="37A7439E"/>
    <w:rsid w:val="37CA2BC5"/>
    <w:rsid w:val="37F03342"/>
    <w:rsid w:val="38544E55"/>
    <w:rsid w:val="39064FC8"/>
    <w:rsid w:val="39963E4D"/>
    <w:rsid w:val="3A2C48CD"/>
    <w:rsid w:val="3B0F7CBC"/>
    <w:rsid w:val="3B275F4B"/>
    <w:rsid w:val="3D2363DE"/>
    <w:rsid w:val="3DA64A40"/>
    <w:rsid w:val="3E015FF2"/>
    <w:rsid w:val="3E4F32EC"/>
    <w:rsid w:val="3E5157CB"/>
    <w:rsid w:val="3E6D1EE0"/>
    <w:rsid w:val="40130CAF"/>
    <w:rsid w:val="40490B34"/>
    <w:rsid w:val="420E65EA"/>
    <w:rsid w:val="421050D4"/>
    <w:rsid w:val="42A9416B"/>
    <w:rsid w:val="42BF1B92"/>
    <w:rsid w:val="435E2995"/>
    <w:rsid w:val="43966372"/>
    <w:rsid w:val="44EF43A5"/>
    <w:rsid w:val="46AE2EAA"/>
    <w:rsid w:val="477060B2"/>
    <w:rsid w:val="47D32116"/>
    <w:rsid w:val="48116822"/>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8B2778"/>
    <w:rsid w:val="52C14E18"/>
    <w:rsid w:val="5316709E"/>
    <w:rsid w:val="534B7B17"/>
    <w:rsid w:val="54B57C0A"/>
    <w:rsid w:val="55FF6B96"/>
    <w:rsid w:val="56E07198"/>
    <w:rsid w:val="57221F02"/>
    <w:rsid w:val="57960F83"/>
    <w:rsid w:val="57DB3B40"/>
    <w:rsid w:val="58733762"/>
    <w:rsid w:val="58A15BF6"/>
    <w:rsid w:val="58DA37D1"/>
    <w:rsid w:val="590772D6"/>
    <w:rsid w:val="597E69B0"/>
    <w:rsid w:val="59D75C73"/>
    <w:rsid w:val="5AA4447D"/>
    <w:rsid w:val="5BBF6D32"/>
    <w:rsid w:val="5C02364F"/>
    <w:rsid w:val="5C4A6C71"/>
    <w:rsid w:val="5CA61E20"/>
    <w:rsid w:val="5D9E05A7"/>
    <w:rsid w:val="5DF96E76"/>
    <w:rsid w:val="5DFE3DF5"/>
    <w:rsid w:val="5E0F059C"/>
    <w:rsid w:val="5E385608"/>
    <w:rsid w:val="5EB9237C"/>
    <w:rsid w:val="5F0458F0"/>
    <w:rsid w:val="5FE226DD"/>
    <w:rsid w:val="60C33852"/>
    <w:rsid w:val="61547E11"/>
    <w:rsid w:val="61852A60"/>
    <w:rsid w:val="62567581"/>
    <w:rsid w:val="631F4682"/>
    <w:rsid w:val="63D4721D"/>
    <w:rsid w:val="640673E3"/>
    <w:rsid w:val="640F17B5"/>
    <w:rsid w:val="64467711"/>
    <w:rsid w:val="64E752C4"/>
    <w:rsid w:val="65DA0DD4"/>
    <w:rsid w:val="65F729C7"/>
    <w:rsid w:val="66934D57"/>
    <w:rsid w:val="66A27154"/>
    <w:rsid w:val="66A80E51"/>
    <w:rsid w:val="677551D7"/>
    <w:rsid w:val="68577F92"/>
    <w:rsid w:val="698D373B"/>
    <w:rsid w:val="69FD1FFD"/>
    <w:rsid w:val="6A2B5BCA"/>
    <w:rsid w:val="6AA75C6E"/>
    <w:rsid w:val="6BB31049"/>
    <w:rsid w:val="6BF15785"/>
    <w:rsid w:val="6C1442B0"/>
    <w:rsid w:val="6CF430F2"/>
    <w:rsid w:val="6D3C0639"/>
    <w:rsid w:val="6DB96BEC"/>
    <w:rsid w:val="6F321DFD"/>
    <w:rsid w:val="6F575DD1"/>
    <w:rsid w:val="70155795"/>
    <w:rsid w:val="702E6762"/>
    <w:rsid w:val="70314EAA"/>
    <w:rsid w:val="7044602E"/>
    <w:rsid w:val="706B3AE0"/>
    <w:rsid w:val="70A15D8A"/>
    <w:rsid w:val="71270FB3"/>
    <w:rsid w:val="71E07B02"/>
    <w:rsid w:val="71F66174"/>
    <w:rsid w:val="72C34258"/>
    <w:rsid w:val="73CE218C"/>
    <w:rsid w:val="74AA472D"/>
    <w:rsid w:val="768165E1"/>
    <w:rsid w:val="79DA1D09"/>
    <w:rsid w:val="7A182199"/>
    <w:rsid w:val="7A31327F"/>
    <w:rsid w:val="7A644061"/>
    <w:rsid w:val="7AE1770B"/>
    <w:rsid w:val="7B114A31"/>
    <w:rsid w:val="7CCE7826"/>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458</Words>
  <Characters>463</Characters>
  <Lines>0</Lines>
  <Paragraphs>0</Paragraphs>
  <TotalTime>1</TotalTime>
  <ScaleCrop>false</ScaleCrop>
  <LinksUpToDate>false</LinksUpToDate>
  <CharactersWithSpaces>729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2025-08-20T08:49:19Z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D9136582A5414E1BAFDA4DB3E6CECEFA_13</vt:lpwstr>
  </property>
  <property fmtid="{D5CDD505-2E9C-101B-9397-08002B2CF9AE}" pid="4" name="KSOTemplateDocerSaveRecord">
    <vt:lpwstr>eyJoZGlkIjoiMTdmMDNkNWQ0ZWMxNjY0YzI3ODdkN2UzOWY5OGRlNzEiLCJ1c2VySWQiOiI2OTk3Mjg4NzkifQ==</vt:lpwstr>
  </property>
</Properties>
</file>